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3D0A" w14:textId="77777777" w:rsidR="005D3464" w:rsidRDefault="005D3464" w:rsidP="005D3464">
      <w:pPr>
        <w:jc w:val="center"/>
        <w:rPr>
          <w:b/>
        </w:rPr>
      </w:pPr>
      <w:r w:rsidRPr="00D50820">
        <w:rPr>
          <w:b/>
        </w:rPr>
        <w:t>A</w:t>
      </w:r>
      <w:r>
        <w:rPr>
          <w:b/>
        </w:rPr>
        <w:t xml:space="preserve">nnual </w:t>
      </w:r>
      <w:r w:rsidRPr="00D50820">
        <w:rPr>
          <w:b/>
        </w:rPr>
        <w:t>G</w:t>
      </w:r>
      <w:r>
        <w:rPr>
          <w:b/>
        </w:rPr>
        <w:t xml:space="preserve">eneral </w:t>
      </w:r>
      <w:r w:rsidRPr="00D50820">
        <w:rPr>
          <w:b/>
        </w:rPr>
        <w:t>M</w:t>
      </w:r>
      <w:r>
        <w:rPr>
          <w:b/>
        </w:rPr>
        <w:t>eeting (AGM)</w:t>
      </w:r>
    </w:p>
    <w:p w14:paraId="6F5388FD" w14:textId="77777777" w:rsidR="005D3464" w:rsidRDefault="005D3464" w:rsidP="005D3464">
      <w:pPr>
        <w:jc w:val="center"/>
        <w:rPr>
          <w:b/>
        </w:rPr>
      </w:pPr>
      <w:r>
        <w:rPr>
          <w:b/>
        </w:rPr>
        <w:t>19 May 2016</w:t>
      </w:r>
    </w:p>
    <w:p w14:paraId="72BB4260" w14:textId="77777777" w:rsidR="005D3464" w:rsidRDefault="005D3464" w:rsidP="005D3464">
      <w:pPr>
        <w:jc w:val="center"/>
        <w:rPr>
          <w:b/>
        </w:rPr>
      </w:pPr>
      <w:r>
        <w:rPr>
          <w:b/>
        </w:rPr>
        <w:t>6 – 8 pm</w:t>
      </w:r>
    </w:p>
    <w:p w14:paraId="14EE4F71" w14:textId="77777777" w:rsidR="009B4DD9" w:rsidRDefault="009B4DD9" w:rsidP="005D3464">
      <w:pPr>
        <w:jc w:val="center"/>
        <w:rPr>
          <w:b/>
        </w:rPr>
      </w:pPr>
    </w:p>
    <w:p w14:paraId="156A718D" w14:textId="77777777" w:rsidR="005D3464" w:rsidRDefault="005D3464" w:rsidP="005D3464">
      <w:r w:rsidRPr="00E45E0E">
        <w:rPr>
          <w:b/>
        </w:rPr>
        <w:t xml:space="preserve">Present: </w:t>
      </w:r>
      <w:r w:rsidRPr="00B21131">
        <w:t>Richard</w:t>
      </w:r>
      <w:r>
        <w:t xml:space="preserve"> Hudler (Chair)</w:t>
      </w:r>
      <w:r w:rsidRPr="00B21131">
        <w:t>, Dwayne</w:t>
      </w:r>
      <w:r>
        <w:t xml:space="preserve"> Shaw (Vice-Chair)</w:t>
      </w:r>
      <w:r w:rsidRPr="00B21131">
        <w:t>, Matthew</w:t>
      </w:r>
      <w:r>
        <w:t xml:space="preserve"> Beeson</w:t>
      </w:r>
      <w:r w:rsidRPr="00B21131">
        <w:t>, John</w:t>
      </w:r>
      <w:r>
        <w:t xml:space="preserve"> Wilson (Treasurer)</w:t>
      </w:r>
      <w:r w:rsidRPr="00B21131">
        <w:t>, Brian</w:t>
      </w:r>
      <w:r>
        <w:t xml:space="preserve"> de Matos</w:t>
      </w:r>
      <w:r w:rsidRPr="00B21131">
        <w:t xml:space="preserve">, </w:t>
      </w:r>
      <w:r>
        <w:t xml:space="preserve">Susan Gapka, </w:t>
      </w:r>
      <w:r w:rsidRPr="00B21131">
        <w:t>Rob</w:t>
      </w:r>
      <w:r>
        <w:t xml:space="preserve"> Teixeira.</w:t>
      </w:r>
    </w:p>
    <w:p w14:paraId="2F92FD59" w14:textId="77777777" w:rsidR="005D3464" w:rsidRDefault="005D3464" w:rsidP="005D3464">
      <w:pPr>
        <w:jc w:val="center"/>
      </w:pPr>
    </w:p>
    <w:p w14:paraId="77D48B12" w14:textId="05634535" w:rsidR="005D3464" w:rsidRDefault="005D3464" w:rsidP="005D3464">
      <w:r w:rsidRPr="008C7407">
        <w:rPr>
          <w:b/>
        </w:rPr>
        <w:t>Proxy</w:t>
      </w:r>
      <w:r>
        <w:t xml:space="preserve">: Nick Mulé, </w:t>
      </w:r>
      <w:r w:rsidR="004F7990">
        <w:t>Heather MacNaughton</w:t>
      </w:r>
      <w:r>
        <w:t>, Jonathan Mackereth</w:t>
      </w:r>
      <w:r w:rsidR="004F7990">
        <w:t xml:space="preserve"> </w:t>
      </w:r>
      <w:r>
        <w:t xml:space="preserve">With proxy voters that makes a total of 9 </w:t>
      </w:r>
      <w:r w:rsidR="004F7990">
        <w:t>voting members, constituting a quorum (7).</w:t>
      </w:r>
    </w:p>
    <w:p w14:paraId="652DA463" w14:textId="77777777" w:rsidR="004F7990" w:rsidRDefault="004F7990" w:rsidP="005D3464">
      <w:pPr>
        <w:rPr>
          <w:i/>
        </w:rPr>
      </w:pPr>
    </w:p>
    <w:p w14:paraId="2FE816EB" w14:textId="77777777" w:rsidR="005D3464" w:rsidRPr="00D61FA3" w:rsidRDefault="005D3464" w:rsidP="005D3464">
      <w:pPr>
        <w:rPr>
          <w:i/>
        </w:rPr>
      </w:pPr>
      <w:r w:rsidRPr="00D61FA3">
        <w:rPr>
          <w:i/>
        </w:rPr>
        <w:t>The AGM component of tonight</w:t>
      </w:r>
      <w:r>
        <w:rPr>
          <w:i/>
        </w:rPr>
        <w:t>’s</w:t>
      </w:r>
      <w:r w:rsidRPr="00D61FA3">
        <w:rPr>
          <w:i/>
        </w:rPr>
        <w:t xml:space="preserve"> meeting commences. </w:t>
      </w:r>
    </w:p>
    <w:p w14:paraId="75C40611" w14:textId="77777777" w:rsidR="005D3464" w:rsidRDefault="005D3464" w:rsidP="005D3464"/>
    <w:p w14:paraId="7C29AC10" w14:textId="77777777" w:rsidR="005D3464" w:rsidRPr="0045593D" w:rsidRDefault="005D3464" w:rsidP="005D3464">
      <w:pPr>
        <w:rPr>
          <w:b/>
        </w:rPr>
      </w:pPr>
      <w:r w:rsidRPr="0045593D">
        <w:rPr>
          <w:b/>
        </w:rPr>
        <w:t>AGM Minutes - 2015</w:t>
      </w:r>
    </w:p>
    <w:p w14:paraId="65BAE59C" w14:textId="77777777" w:rsidR="005D3464" w:rsidRDefault="005D3464" w:rsidP="005D3464">
      <w:r>
        <w:t xml:space="preserve">Last year’s AGM Minutes Approved. John moved to approve the minutes; Rob seconded. Approved. Passed. </w:t>
      </w:r>
    </w:p>
    <w:p w14:paraId="4E077EFE" w14:textId="77777777" w:rsidR="005D3464" w:rsidRDefault="005D3464" w:rsidP="005D3464"/>
    <w:p w14:paraId="109FB0A4" w14:textId="77777777" w:rsidR="005D3464" w:rsidRPr="0045593D" w:rsidRDefault="005D3464" w:rsidP="005D3464">
      <w:pPr>
        <w:rPr>
          <w:b/>
        </w:rPr>
      </w:pPr>
      <w:r w:rsidRPr="0045593D">
        <w:rPr>
          <w:b/>
        </w:rPr>
        <w:t xml:space="preserve">Report from the Chair. </w:t>
      </w:r>
    </w:p>
    <w:p w14:paraId="5948394D" w14:textId="77777777" w:rsidR="005D3464" w:rsidRDefault="005D3464" w:rsidP="005D3464">
      <w:r>
        <w:t xml:space="preserve">Read out a written report. Rob was very impressed with the work that QO has participated in over the last year. </w:t>
      </w:r>
    </w:p>
    <w:p w14:paraId="42CB21E1" w14:textId="1595FDA5" w:rsidR="005D3464" w:rsidRDefault="005D3464" w:rsidP="005D3464">
      <w:r>
        <w:t>Susan also sees that QO has been participating in a range of events… Susan moves to accept Richard Hudler’s report and John seconds it.</w:t>
      </w:r>
      <w:r w:rsidR="004F7990">
        <w:t xml:space="preserve"> Approved</w:t>
      </w:r>
      <w:r w:rsidR="00D82F31">
        <w:t>.</w:t>
      </w:r>
      <w:r w:rsidR="004F7990">
        <w:t xml:space="preserve"> (See Attachment I)</w:t>
      </w:r>
    </w:p>
    <w:p w14:paraId="05DF8597" w14:textId="77777777" w:rsidR="005D3464" w:rsidRDefault="005D3464" w:rsidP="005D3464"/>
    <w:p w14:paraId="6B14A4F4" w14:textId="77777777" w:rsidR="005D3464" w:rsidRDefault="005D3464" w:rsidP="005D3464">
      <w:pPr>
        <w:rPr>
          <w:b/>
        </w:rPr>
      </w:pPr>
      <w:r>
        <w:rPr>
          <w:b/>
        </w:rPr>
        <w:t>Treasurer’s report</w:t>
      </w:r>
    </w:p>
    <w:p w14:paraId="12092033" w14:textId="77777777" w:rsidR="005D3464" w:rsidRDefault="005D3464" w:rsidP="005D3464">
      <w:r>
        <w:t xml:space="preserve">John circulated a detailed report and Budget. </w:t>
      </w:r>
    </w:p>
    <w:p w14:paraId="03250C3D" w14:textId="77777777" w:rsidR="005D3464" w:rsidRDefault="005D3464" w:rsidP="005D3464"/>
    <w:p w14:paraId="3F532D1E" w14:textId="77777777" w:rsidR="005D3464" w:rsidRDefault="005D3464" w:rsidP="005D3464">
      <w:r>
        <w:t xml:space="preserve">Brian asked some questions around the expenses for our domain name and website expenses. GSA fund is earmarked for political action around the GSA issue.  </w:t>
      </w:r>
    </w:p>
    <w:p w14:paraId="74F6B123" w14:textId="77777777" w:rsidR="005D3464" w:rsidRDefault="005D3464" w:rsidP="005D3464"/>
    <w:p w14:paraId="36F6895F" w14:textId="59C089FF" w:rsidR="005D3464" w:rsidRDefault="005D3464" w:rsidP="005D3464">
      <w:r>
        <w:t xml:space="preserve">Richard moved to approve Treasurer’s reported. Matthew seconded. Approved. </w:t>
      </w:r>
      <w:r w:rsidR="00D82F31">
        <w:t>(See Attachment II)</w:t>
      </w:r>
    </w:p>
    <w:p w14:paraId="2B00CC84" w14:textId="77777777" w:rsidR="005D3464" w:rsidRDefault="005D3464" w:rsidP="005D3464"/>
    <w:p w14:paraId="58B2B6F9" w14:textId="77777777" w:rsidR="005D3464" w:rsidRPr="003E6F52" w:rsidRDefault="005D3464" w:rsidP="005D3464">
      <w:pPr>
        <w:rPr>
          <w:b/>
        </w:rPr>
      </w:pPr>
      <w:r>
        <w:rPr>
          <w:b/>
        </w:rPr>
        <w:t xml:space="preserve">Queer Ontario AGM - </w:t>
      </w:r>
      <w:r w:rsidRPr="003E6F52">
        <w:rPr>
          <w:b/>
        </w:rPr>
        <w:t xml:space="preserve">Election </w:t>
      </w:r>
    </w:p>
    <w:p w14:paraId="5B22522F" w14:textId="77777777" w:rsidR="005D3464" w:rsidRDefault="005D3464" w:rsidP="005D3464"/>
    <w:p w14:paraId="4EB7CC36" w14:textId="77777777" w:rsidR="005D3464" w:rsidRPr="003E6F52" w:rsidRDefault="005D3464" w:rsidP="005D3464">
      <w:pPr>
        <w:rPr>
          <w:b/>
          <w:i/>
        </w:rPr>
      </w:pPr>
      <w:r w:rsidRPr="003E6F52">
        <w:rPr>
          <w:b/>
          <w:i/>
        </w:rPr>
        <w:t>Statements from the Candidates</w:t>
      </w:r>
    </w:p>
    <w:p w14:paraId="7C22061C" w14:textId="77777777" w:rsidR="005D3464" w:rsidRDefault="005D3464" w:rsidP="005D3464"/>
    <w:p w14:paraId="40515FDA" w14:textId="77777777" w:rsidR="005D3464" w:rsidRDefault="005D3464" w:rsidP="005D3464">
      <w:r>
        <w:t>a) Vice Chair Statement: Dwayne Shaw. Dwayne wishes to continue in role of vice-chair. QO should have priorities outside the QLT Project but he feels that it was not beneficial to QO as a whole. Dwayne stands strong with the chair and SC and will work to support current and future work and help to enable that process. Dwayne wishes to have people put their faith in Dwayne and continue in his role of vice chair</w:t>
      </w:r>
    </w:p>
    <w:p w14:paraId="0CD6F575" w14:textId="77777777" w:rsidR="005D3464" w:rsidRDefault="005D3464" w:rsidP="005D3464"/>
    <w:p w14:paraId="2D933304" w14:textId="77777777" w:rsidR="005D3464" w:rsidRDefault="005D3464" w:rsidP="005D3464">
      <w:r>
        <w:t>b) Treasurer. John Wilson. John wishes to continue in his role as Treasurer.</w:t>
      </w:r>
    </w:p>
    <w:p w14:paraId="0318EC0F" w14:textId="77777777" w:rsidR="005D3464" w:rsidRDefault="005D3464" w:rsidP="005D3464"/>
    <w:p w14:paraId="6E24B97D" w14:textId="77777777" w:rsidR="005D3464" w:rsidRDefault="005D3464" w:rsidP="005D3464">
      <w:r>
        <w:t xml:space="preserve">c) Member at Large: Matthew Beeson. Wants to do more bridging with QO in the community and he wants to work to raise our profile and get the community constituents updated on what is going on . So there is more participation and community support and what the community means to me. Continue to serve and work with nick to strengthen our constituents and ourselves. </w:t>
      </w:r>
    </w:p>
    <w:p w14:paraId="11ECD98A" w14:textId="77777777" w:rsidR="005D3464" w:rsidRDefault="005D3464" w:rsidP="005D3464"/>
    <w:p w14:paraId="4662478B" w14:textId="77777777" w:rsidR="005D3464" w:rsidRDefault="005D3464" w:rsidP="005D3464">
      <w:r>
        <w:t xml:space="preserve">Robert and Brian were scrutineers and ballot counters. </w:t>
      </w:r>
    </w:p>
    <w:p w14:paraId="435F731E" w14:textId="77777777" w:rsidR="005D3464" w:rsidRDefault="005D3464" w:rsidP="005D3464"/>
    <w:p w14:paraId="3FD014A6" w14:textId="77777777" w:rsidR="005D3464" w:rsidRPr="003E6F52" w:rsidRDefault="005D3464" w:rsidP="005D3464">
      <w:pPr>
        <w:rPr>
          <w:b/>
          <w:i/>
        </w:rPr>
      </w:pPr>
      <w:r>
        <w:rPr>
          <w:b/>
          <w:i/>
        </w:rPr>
        <w:t>Election Results</w:t>
      </w:r>
    </w:p>
    <w:p w14:paraId="2CB4FA79" w14:textId="77777777" w:rsidR="005D3464" w:rsidRDefault="005D3464" w:rsidP="005D3464">
      <w:r>
        <w:t xml:space="preserve">It is customary to retain the ballots for a length of time after the election. All used election ballots were sealed in an envelope; unused ballots were destroyed. Brian moved to retain the marked Ballots for two weeks. Richard seconded the motion to strike (destroy) the ballots on June 2, 2016 -- two weeks after today’s election. </w:t>
      </w:r>
    </w:p>
    <w:p w14:paraId="35F9C973" w14:textId="77777777" w:rsidR="005D3464" w:rsidRDefault="005D3464" w:rsidP="005D3464">
      <w:r>
        <w:t xml:space="preserve"> </w:t>
      </w:r>
    </w:p>
    <w:p w14:paraId="4AB22448" w14:textId="77777777" w:rsidR="005D3464" w:rsidRDefault="005D3464" w:rsidP="005D3464">
      <w:r>
        <w:t xml:space="preserve">Steering Committee will consider appointing Brian to acting Secretary to help with website renewal and to keep us updated on technical issues. Term is until the next time we can have an election for Secretary. Richard moved and Rob seconded the motion. Approved. </w:t>
      </w:r>
    </w:p>
    <w:p w14:paraId="2F26C063" w14:textId="77777777" w:rsidR="005D3464" w:rsidRDefault="005D3464" w:rsidP="005D3464"/>
    <w:p w14:paraId="7CAF74D2" w14:textId="77777777" w:rsidR="005D3464" w:rsidRDefault="005D3464" w:rsidP="005D3464">
      <w:r>
        <w:t>Elections</w:t>
      </w:r>
    </w:p>
    <w:p w14:paraId="72219AD7" w14:textId="77777777" w:rsidR="005D3464" w:rsidRDefault="005D3464" w:rsidP="005D3464">
      <w:r>
        <w:t>Candidates John Wilson, Matthew Beeson, and Dwayne Shaw provided oral statements ab</w:t>
      </w:r>
      <w:r w:rsidR="009B4DD9">
        <w:t>out their work for Queer Ontario</w:t>
      </w:r>
      <w:r>
        <w:t xml:space="preserve"> in the future. </w:t>
      </w:r>
    </w:p>
    <w:p w14:paraId="0E3E225E" w14:textId="77777777" w:rsidR="005D3464" w:rsidRDefault="005D3464" w:rsidP="005D3464"/>
    <w:p w14:paraId="00B93829" w14:textId="77777777" w:rsidR="005D3464" w:rsidRDefault="005D3464" w:rsidP="005D3464">
      <w:r>
        <w:t>Election results:</w:t>
      </w:r>
    </w:p>
    <w:p w14:paraId="5CAC1F5C" w14:textId="77777777" w:rsidR="005D3464" w:rsidRDefault="005D3464" w:rsidP="005D3464"/>
    <w:p w14:paraId="523BFB8A" w14:textId="77777777" w:rsidR="005D3464" w:rsidRDefault="005D3464" w:rsidP="005D3464">
      <w:r>
        <w:t>Dwayne Shaw elected to position of Vice-Chair for a 2-year term. (His previous position was as Interim Chair). 19 May 2016 – May 2018.</w:t>
      </w:r>
    </w:p>
    <w:p w14:paraId="622DD0BF" w14:textId="77777777" w:rsidR="005D3464" w:rsidRDefault="005D3464" w:rsidP="005D3464"/>
    <w:p w14:paraId="12AE13A5" w14:textId="77777777" w:rsidR="005D3464" w:rsidRDefault="005D3464" w:rsidP="005D3464">
      <w:r>
        <w:t xml:space="preserve">John Wilson elected to position of Treasure for another 2 – year Term. </w:t>
      </w:r>
    </w:p>
    <w:p w14:paraId="3B3455C4" w14:textId="77777777" w:rsidR="005D3464" w:rsidRDefault="005D3464" w:rsidP="005D3464"/>
    <w:p w14:paraId="61CB1C37" w14:textId="4A15B062" w:rsidR="005D3464" w:rsidRDefault="005D3464" w:rsidP="005D3464">
      <w:r>
        <w:t xml:space="preserve">Matthew Beeson elected to a position of Member-at-Large. </w:t>
      </w:r>
      <w:r w:rsidR="004F7990">
        <w:t>– 2 year Term.</w:t>
      </w:r>
    </w:p>
    <w:p w14:paraId="480645EB" w14:textId="77777777" w:rsidR="005D3464" w:rsidRDefault="005D3464" w:rsidP="005D3464"/>
    <w:p w14:paraId="33B51D57" w14:textId="77777777" w:rsidR="005D3464" w:rsidRDefault="005D3464" w:rsidP="005D3464">
      <w:r>
        <w:t>Matthew motions to adjourn t</w:t>
      </w:r>
      <w:r w:rsidR="009B4DD9">
        <w:t>he AGM; John seconds</w:t>
      </w:r>
      <w:r>
        <w:t>.</w:t>
      </w:r>
      <w:r w:rsidR="009B4DD9">
        <w:t xml:space="preserve"> Motion Carried:</w:t>
      </w:r>
      <w:r>
        <w:t xml:space="preserve"> </w:t>
      </w:r>
    </w:p>
    <w:p w14:paraId="46336BB2" w14:textId="5FC795E1" w:rsidR="00B34134" w:rsidRDefault="005D3464" w:rsidP="005D3464">
      <w:pPr>
        <w:rPr>
          <w:i/>
        </w:rPr>
      </w:pPr>
      <w:r w:rsidRPr="00DB37D6">
        <w:rPr>
          <w:i/>
        </w:rPr>
        <w:t xml:space="preserve">Queer Ontario’s Annual General Meeting has been adjourned. </w:t>
      </w:r>
    </w:p>
    <w:p w14:paraId="06CDB2BB" w14:textId="77777777" w:rsidR="00B34134" w:rsidRDefault="00B34134">
      <w:pPr>
        <w:rPr>
          <w:i/>
        </w:rPr>
      </w:pPr>
      <w:r>
        <w:rPr>
          <w:i/>
        </w:rPr>
        <w:br w:type="page"/>
      </w:r>
    </w:p>
    <w:p w14:paraId="3D040F31" w14:textId="2F39CB37" w:rsidR="005D3464" w:rsidRDefault="00B34134" w:rsidP="005D3464">
      <w:r>
        <w:lastRenderedPageBreak/>
        <w:t>APPENDIX I</w:t>
      </w:r>
    </w:p>
    <w:p w14:paraId="65A8F689" w14:textId="77777777" w:rsidR="00B34134" w:rsidRDefault="00B34134" w:rsidP="00B34134">
      <w:pPr>
        <w:pStyle w:val="NoSpacing"/>
      </w:pPr>
      <w:r>
        <w:t>CHAIRPERSON’S REPORT</w:t>
      </w:r>
    </w:p>
    <w:p w14:paraId="1E06CF45" w14:textId="77777777" w:rsidR="00B34134" w:rsidRDefault="00B34134" w:rsidP="00B34134">
      <w:pPr>
        <w:pStyle w:val="NoSpacing"/>
      </w:pPr>
      <w:r>
        <w:t>Queer Ontario Annual General Meeting</w:t>
      </w:r>
    </w:p>
    <w:p w14:paraId="064A5A52" w14:textId="77777777" w:rsidR="00B34134" w:rsidRDefault="00B34134" w:rsidP="00B34134">
      <w:pPr>
        <w:pStyle w:val="NoSpacing"/>
      </w:pPr>
      <w:r>
        <w:t>May 19, 2016</w:t>
      </w:r>
    </w:p>
    <w:p w14:paraId="6D779D81" w14:textId="77777777" w:rsidR="00B34134" w:rsidRDefault="00B34134" w:rsidP="00B34134">
      <w:pPr>
        <w:pStyle w:val="NoSpacing"/>
      </w:pPr>
    </w:p>
    <w:p w14:paraId="20E25407" w14:textId="77777777" w:rsidR="00B34134" w:rsidRDefault="00B34134" w:rsidP="00B34134">
      <w:pPr>
        <w:pStyle w:val="NoSpacing"/>
      </w:pPr>
      <w:r>
        <w:t xml:space="preserve"> When I ran for Chair last year I was asked what my goals would be for Queer Ontario (QO). I said they were to tow the organization out of the doldrums. That has not been accomplished. I do, however, see some glimmers of hope.</w:t>
      </w:r>
    </w:p>
    <w:p w14:paraId="25BE5541" w14:textId="77777777" w:rsidR="00B34134" w:rsidRDefault="00B34134" w:rsidP="00B34134">
      <w:pPr>
        <w:pStyle w:val="NoSpacing"/>
      </w:pPr>
    </w:p>
    <w:p w14:paraId="11D967BF" w14:textId="77777777" w:rsidR="00B34134" w:rsidRDefault="00B34134" w:rsidP="00B34134">
      <w:pPr>
        <w:pStyle w:val="NoSpacing"/>
      </w:pPr>
      <w:r>
        <w:t>To raise awareness of Queer Ontario we felt we needed to focus on increasing our visibility around the province and addressing viable issues. We made efforts in both directions but our numbers remain low and we are without a secretary.</w:t>
      </w:r>
    </w:p>
    <w:p w14:paraId="5C6DC8A7" w14:textId="77777777" w:rsidR="00B34134" w:rsidRDefault="00B34134" w:rsidP="00B34134">
      <w:pPr>
        <w:pStyle w:val="NoSpacing"/>
      </w:pPr>
    </w:p>
    <w:p w14:paraId="7AB78655" w14:textId="77777777" w:rsidR="00B34134" w:rsidRDefault="00B34134" w:rsidP="00B34134">
      <w:pPr>
        <w:pStyle w:val="NoSpacing"/>
      </w:pPr>
      <w:r>
        <w:t>Efforts to increase our visibility were made by developing a directory of likeminded organizations throughout the province, preparing the Fall 2015 QO Newsletter, conducting a Volunteer Orientation Meeting, participating in a consultation with Daily Xtra, continuing work on the Queer Liberation Theory Project which also involved developing conflict resolution and netiquette guidelines, organizing our archives to be sent to the Canadian Lesbian and Gay Archives, organizing a picnic, joining some Pride Celebrations, working on becoming incorporated and consulting with The 519 about improving technical access to social media in the building. We have been hampered in these efforts by our personal lack of skills in the areas of technology and social media. Our glimmer of hope is that going forward we have people with these skills interested in helping us.</w:t>
      </w:r>
    </w:p>
    <w:p w14:paraId="6DA958A5" w14:textId="77777777" w:rsidR="00B34134" w:rsidRDefault="00B34134" w:rsidP="00B34134">
      <w:pPr>
        <w:pStyle w:val="NoSpacing"/>
      </w:pPr>
    </w:p>
    <w:p w14:paraId="14BAB631" w14:textId="77777777" w:rsidR="00B34134" w:rsidRDefault="00B34134" w:rsidP="00B34134">
      <w:pPr>
        <w:pStyle w:val="NoSpacing"/>
      </w:pPr>
      <w:r>
        <w:t>In terms of addressing viable issues, Queer Ontario supported the “We Demand an Apology Statement”, the Ontario Coalition Against Poverty concerns about police activity in disadvantaged neighbourhoods during the Pan Am games, an Education Day by the Ontario Public Service Employees Union, a Sex Education Curriculum rally, efforts to address issues around sex laws and sex work and concerns about Bill C-51 and the possible criminalization of dissent on the part of the Federal Government. A written and verbal deputation was made in support of Bill 77, “Affirming Sexual Orientation and Gender Identity” which was passed. A written deputation was presented to the City of Toronto Executive Committee regarding proposed Revitalization of George Street and we organized and/or participated in meetings concerning the Moss Park Project, potential closing of Fudger House and the city’s Strategy on Poverty. Regarding Human Rights, we endorsed the Canadian HIV/AIDS Legal Network call to action for Global LGBTI Human Rights, communicated with the Ontario Human Rights Commission regarding their new strategic plan, attended the launch of the report “Envisioning LGBT Refugee Rights in Canada: Is Canada a Safe Haven?”  and participated in a roundtable on gender identity issues with the Canadian Human Rights Commission.</w:t>
      </w:r>
    </w:p>
    <w:p w14:paraId="59EC4034" w14:textId="77777777" w:rsidR="00B34134" w:rsidRDefault="00B34134" w:rsidP="00B34134">
      <w:pPr>
        <w:pStyle w:val="NoSpacing"/>
      </w:pPr>
    </w:p>
    <w:p w14:paraId="5767F2E4" w14:textId="77777777" w:rsidR="00B34134" w:rsidRDefault="00B34134" w:rsidP="00B34134">
      <w:pPr>
        <w:pStyle w:val="NoSpacing"/>
      </w:pPr>
      <w:r>
        <w:t>Queer Ontario is attempting to carry on a concept of liberation that goes beyond equality. We want to ensure there is room for diversity in society that goes beyond assimilation. That goal requires that we also be able to ensure there is room for diversity among ourselves. Not just in terms of geography, race, ability, social status and the many other measures of difference but also in our ways of thinking and functioning so long as we continue to agree on that basic concept of liberation.</w:t>
      </w:r>
    </w:p>
    <w:p w14:paraId="49DDF32A" w14:textId="77777777" w:rsidR="00B34134" w:rsidRDefault="00B34134" w:rsidP="00B34134">
      <w:pPr>
        <w:pStyle w:val="NoSpacing"/>
      </w:pPr>
    </w:p>
    <w:p w14:paraId="62C66008" w14:textId="77777777" w:rsidR="00B34134" w:rsidRDefault="00B34134" w:rsidP="00B34134">
      <w:pPr>
        <w:pStyle w:val="NoSpacing"/>
      </w:pPr>
      <w:r>
        <w:t>This effort is not easy for all of society or for us. We have to set an example. Despite our differing personal interests and goals we are all capable of contributing to that concept of liberation and we must look for ways to support each other to pursue our interests and goals individually and collectively.</w:t>
      </w:r>
    </w:p>
    <w:p w14:paraId="6F5F0193" w14:textId="77777777" w:rsidR="00B34134" w:rsidRDefault="00B34134" w:rsidP="00B34134">
      <w:pPr>
        <w:pStyle w:val="NoSpacing"/>
      </w:pPr>
    </w:p>
    <w:p w14:paraId="2ACC491C" w14:textId="77777777" w:rsidR="00B34134" w:rsidRDefault="00B34134" w:rsidP="00B34134">
      <w:pPr>
        <w:pStyle w:val="NoSpacing"/>
      </w:pPr>
      <w:r>
        <w:t>Richard Hudler</w:t>
      </w:r>
    </w:p>
    <w:p w14:paraId="5735BBEB" w14:textId="77777777" w:rsidR="00B34134" w:rsidRPr="00B34134" w:rsidRDefault="00B34134" w:rsidP="005D3464"/>
    <w:p w14:paraId="42FFA237" w14:textId="7B589E9F" w:rsidR="00B34134" w:rsidRDefault="00B34134" w:rsidP="005D3464">
      <w:r>
        <w:lastRenderedPageBreak/>
        <w:t>APPENDIX II</w:t>
      </w:r>
    </w:p>
    <w:p w14:paraId="11CA24FD" w14:textId="77777777" w:rsidR="008120AD" w:rsidRPr="00B34134" w:rsidRDefault="008120AD" w:rsidP="005D3464"/>
    <w:p w14:paraId="0E41C911" w14:textId="77777777" w:rsidR="008120AD" w:rsidRDefault="008120AD" w:rsidP="008120AD"/>
    <w:p w14:paraId="0CCB476D" w14:textId="32F9B375" w:rsidR="008120AD" w:rsidRDefault="008120AD" w:rsidP="008120AD">
      <w:r>
        <w:rPr>
          <w:noProof/>
        </w:rPr>
        <w:drawing>
          <wp:inline distT="0" distB="0" distL="0" distR="0" wp14:anchorId="3E318ED8" wp14:editId="4784212E">
            <wp:extent cx="838200" cy="542925"/>
            <wp:effectExtent l="0" t="0" r="0" b="9525"/>
            <wp:docPr id="1" name="Picture 1" descr="QueerOntar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rOntari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p>
    <w:p w14:paraId="6D7FE78D" w14:textId="77777777" w:rsidR="008120AD" w:rsidRPr="00592346" w:rsidRDefault="008120AD" w:rsidP="008120AD">
      <w:r>
        <w:t xml:space="preserve">QO PROPOSED BUDGET </w:t>
      </w:r>
      <w:r>
        <w:rPr>
          <w:b/>
          <w:sz w:val="36"/>
          <w:szCs w:val="36"/>
        </w:rPr>
        <w:t xml:space="preserve">April, 2016 </w:t>
      </w:r>
    </w:p>
    <w:p w14:paraId="5EE30CF3" w14:textId="77777777" w:rsidR="008120AD" w:rsidRDefault="008120AD" w:rsidP="008120AD">
      <w:pPr>
        <w:rPr>
          <w:b/>
          <w:i/>
        </w:rPr>
      </w:pPr>
      <w:r w:rsidRPr="00A27016">
        <w:rPr>
          <w:b/>
          <w:i/>
        </w:rPr>
        <w:t xml:space="preserve">Fiscal year </w:t>
      </w:r>
      <w:r>
        <w:rPr>
          <w:b/>
          <w:i/>
        </w:rPr>
        <w:t>April</w:t>
      </w:r>
      <w:r w:rsidRPr="00A27016">
        <w:rPr>
          <w:b/>
          <w:i/>
        </w:rPr>
        <w:t xml:space="preserve"> 1 – </w:t>
      </w:r>
      <w:r>
        <w:rPr>
          <w:b/>
          <w:i/>
        </w:rPr>
        <w:t xml:space="preserve">March </w:t>
      </w:r>
      <w:r w:rsidRPr="00A27016">
        <w:rPr>
          <w:b/>
          <w:i/>
        </w:rPr>
        <w:t>31</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890"/>
      </w:tblGrid>
      <w:tr w:rsidR="008120AD" w14:paraId="22CFD2AD" w14:textId="77777777" w:rsidTr="0049479F">
        <w:tc>
          <w:tcPr>
            <w:tcW w:w="2628" w:type="dxa"/>
            <w:shd w:val="clear" w:color="auto" w:fill="auto"/>
          </w:tcPr>
          <w:p w14:paraId="4774A284" w14:textId="77777777" w:rsidR="008120AD" w:rsidRDefault="008120AD" w:rsidP="0049479F">
            <w:r>
              <w:t>ACCOUNTS</w:t>
            </w:r>
          </w:p>
        </w:tc>
        <w:tc>
          <w:tcPr>
            <w:tcW w:w="1890" w:type="dxa"/>
          </w:tcPr>
          <w:p w14:paraId="608B6C6E" w14:textId="77777777" w:rsidR="008120AD" w:rsidRDefault="008120AD" w:rsidP="0049479F">
            <w:r>
              <w:t>Beginning 15/16</w:t>
            </w:r>
          </w:p>
        </w:tc>
        <w:tc>
          <w:tcPr>
            <w:tcW w:w="1890" w:type="dxa"/>
          </w:tcPr>
          <w:p w14:paraId="5FCBA6EE" w14:textId="77777777" w:rsidR="008120AD" w:rsidRDefault="008120AD" w:rsidP="0049479F">
            <w:r>
              <w:t>Beginning 16/17</w:t>
            </w:r>
          </w:p>
        </w:tc>
      </w:tr>
      <w:tr w:rsidR="008120AD" w14:paraId="72E02F67" w14:textId="77777777" w:rsidTr="0049479F">
        <w:tc>
          <w:tcPr>
            <w:tcW w:w="2628" w:type="dxa"/>
            <w:shd w:val="clear" w:color="auto" w:fill="auto"/>
          </w:tcPr>
          <w:p w14:paraId="19D20500" w14:textId="77777777" w:rsidR="008120AD" w:rsidRDefault="008120AD" w:rsidP="0049479F">
            <w:r>
              <w:t>Chequing</w:t>
            </w:r>
          </w:p>
        </w:tc>
        <w:tc>
          <w:tcPr>
            <w:tcW w:w="1890" w:type="dxa"/>
          </w:tcPr>
          <w:p w14:paraId="291695C9" w14:textId="77777777" w:rsidR="008120AD" w:rsidRDefault="008120AD" w:rsidP="0049479F">
            <w:pPr>
              <w:jc w:val="right"/>
            </w:pPr>
            <w:r>
              <w:t>1,363.97</w:t>
            </w:r>
          </w:p>
        </w:tc>
        <w:tc>
          <w:tcPr>
            <w:tcW w:w="1890" w:type="dxa"/>
          </w:tcPr>
          <w:p w14:paraId="627D101E" w14:textId="77777777" w:rsidR="008120AD" w:rsidRDefault="008120AD" w:rsidP="0049479F">
            <w:pPr>
              <w:jc w:val="right"/>
            </w:pPr>
            <w:r>
              <w:t>4,584.05</w:t>
            </w:r>
          </w:p>
        </w:tc>
      </w:tr>
      <w:tr w:rsidR="008120AD" w14:paraId="040AE5E2" w14:textId="77777777" w:rsidTr="0049479F">
        <w:tc>
          <w:tcPr>
            <w:tcW w:w="2628" w:type="dxa"/>
            <w:shd w:val="clear" w:color="auto" w:fill="auto"/>
          </w:tcPr>
          <w:p w14:paraId="1D8780D3" w14:textId="77777777" w:rsidR="008120AD" w:rsidRDefault="008120AD" w:rsidP="0049479F">
            <w:r>
              <w:t>Savings (GSA fund)</w:t>
            </w:r>
            <w:r>
              <w:rPr>
                <w:rStyle w:val="FootnoteReference"/>
              </w:rPr>
              <w:t xml:space="preserve"> </w:t>
            </w:r>
            <w:r>
              <w:rPr>
                <w:rStyle w:val="FootnoteReference"/>
              </w:rPr>
              <w:footnoteReference w:id="1"/>
            </w:r>
          </w:p>
        </w:tc>
        <w:tc>
          <w:tcPr>
            <w:tcW w:w="1890" w:type="dxa"/>
          </w:tcPr>
          <w:p w14:paraId="7265E29C" w14:textId="77777777" w:rsidR="008120AD" w:rsidRDefault="008120AD" w:rsidP="0049479F">
            <w:pPr>
              <w:jc w:val="right"/>
            </w:pPr>
            <w:r>
              <w:t>435.54</w:t>
            </w:r>
          </w:p>
        </w:tc>
        <w:tc>
          <w:tcPr>
            <w:tcW w:w="1890" w:type="dxa"/>
          </w:tcPr>
          <w:p w14:paraId="49B37135" w14:textId="77777777" w:rsidR="008120AD" w:rsidRDefault="008120AD" w:rsidP="0049479F">
            <w:pPr>
              <w:jc w:val="right"/>
            </w:pPr>
            <w:r>
              <w:t>435.73</w:t>
            </w:r>
          </w:p>
        </w:tc>
      </w:tr>
      <w:tr w:rsidR="008120AD" w14:paraId="5CBB2E2F" w14:textId="77777777" w:rsidTr="0049479F">
        <w:tc>
          <w:tcPr>
            <w:tcW w:w="2628" w:type="dxa"/>
            <w:shd w:val="clear" w:color="auto" w:fill="auto"/>
          </w:tcPr>
          <w:p w14:paraId="3121CA99" w14:textId="77777777" w:rsidR="008120AD" w:rsidRDefault="008120AD" w:rsidP="0049479F">
            <w:r>
              <w:t>Pay Pal</w:t>
            </w:r>
          </w:p>
        </w:tc>
        <w:tc>
          <w:tcPr>
            <w:tcW w:w="1890" w:type="dxa"/>
          </w:tcPr>
          <w:p w14:paraId="78660B99" w14:textId="77777777" w:rsidR="008120AD" w:rsidRDefault="008120AD" w:rsidP="0049479F">
            <w:pPr>
              <w:jc w:val="right"/>
            </w:pPr>
            <w:r>
              <w:t>1,749.12</w:t>
            </w:r>
          </w:p>
        </w:tc>
        <w:tc>
          <w:tcPr>
            <w:tcW w:w="1890" w:type="dxa"/>
          </w:tcPr>
          <w:p w14:paraId="7DD7D960" w14:textId="77777777" w:rsidR="008120AD" w:rsidRDefault="008120AD" w:rsidP="0049479F">
            <w:pPr>
              <w:jc w:val="right"/>
            </w:pPr>
            <w:r>
              <w:t>2,061.69</w:t>
            </w:r>
          </w:p>
        </w:tc>
      </w:tr>
      <w:tr w:rsidR="008120AD" w14:paraId="2D9A6686" w14:textId="77777777" w:rsidTr="0049479F">
        <w:tc>
          <w:tcPr>
            <w:tcW w:w="2628" w:type="dxa"/>
            <w:shd w:val="clear" w:color="auto" w:fill="auto"/>
          </w:tcPr>
          <w:p w14:paraId="13E7BA16" w14:textId="77777777" w:rsidR="008120AD" w:rsidRPr="006676C4" w:rsidRDefault="008120AD" w:rsidP="0049479F">
            <w:pPr>
              <w:rPr>
                <w:b/>
              </w:rPr>
            </w:pPr>
            <w:r w:rsidRPr="006676C4">
              <w:rPr>
                <w:b/>
              </w:rPr>
              <w:t>TOTAL</w:t>
            </w:r>
          </w:p>
        </w:tc>
        <w:tc>
          <w:tcPr>
            <w:tcW w:w="1890" w:type="dxa"/>
          </w:tcPr>
          <w:p w14:paraId="3BDA9EE1" w14:textId="77777777" w:rsidR="008120AD" w:rsidRPr="006676C4" w:rsidRDefault="008120AD" w:rsidP="0049479F">
            <w:pPr>
              <w:jc w:val="right"/>
              <w:rPr>
                <w:b/>
              </w:rPr>
            </w:pPr>
            <w:r>
              <w:rPr>
                <w:b/>
              </w:rPr>
              <w:fldChar w:fldCharType="begin"/>
            </w:r>
            <w:r>
              <w:rPr>
                <w:b/>
              </w:rPr>
              <w:instrText xml:space="preserve"> =SUM(ABOVE) </w:instrText>
            </w:r>
            <w:r>
              <w:rPr>
                <w:b/>
              </w:rPr>
              <w:fldChar w:fldCharType="separate"/>
            </w:r>
            <w:r>
              <w:rPr>
                <w:b/>
                <w:noProof/>
              </w:rPr>
              <w:t>3,548.63</w:t>
            </w:r>
            <w:r>
              <w:rPr>
                <w:b/>
              </w:rPr>
              <w:fldChar w:fldCharType="end"/>
            </w:r>
          </w:p>
        </w:tc>
        <w:tc>
          <w:tcPr>
            <w:tcW w:w="1890" w:type="dxa"/>
          </w:tcPr>
          <w:p w14:paraId="4D0E031E" w14:textId="77777777" w:rsidR="008120AD" w:rsidRPr="006676C4" w:rsidRDefault="008120AD" w:rsidP="0049479F">
            <w:pPr>
              <w:jc w:val="right"/>
              <w:rPr>
                <w:b/>
              </w:rPr>
            </w:pPr>
            <w:r>
              <w:rPr>
                <w:b/>
              </w:rPr>
              <w:t>7,081.47</w:t>
            </w:r>
          </w:p>
        </w:tc>
      </w:tr>
    </w:tbl>
    <w:p w14:paraId="175BE73E" w14:textId="77777777" w:rsidR="008120AD" w:rsidRDefault="008120AD" w:rsidP="008120AD"/>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890"/>
        <w:gridCol w:w="1890"/>
      </w:tblGrid>
      <w:tr w:rsidR="008120AD" w14:paraId="20EA2EB5" w14:textId="77777777" w:rsidTr="0049479F">
        <w:tc>
          <w:tcPr>
            <w:tcW w:w="2628" w:type="dxa"/>
            <w:shd w:val="clear" w:color="auto" w:fill="auto"/>
          </w:tcPr>
          <w:p w14:paraId="3BC2F0B8" w14:textId="77777777" w:rsidR="008120AD" w:rsidRDefault="008120AD" w:rsidP="0049479F">
            <w:r>
              <w:t>INCOME</w:t>
            </w:r>
          </w:p>
        </w:tc>
        <w:tc>
          <w:tcPr>
            <w:tcW w:w="1890" w:type="dxa"/>
          </w:tcPr>
          <w:p w14:paraId="4099895A" w14:textId="77777777" w:rsidR="008120AD" w:rsidRDefault="008120AD" w:rsidP="0049479F">
            <w:r>
              <w:t>Budget 15/16</w:t>
            </w:r>
          </w:p>
        </w:tc>
        <w:tc>
          <w:tcPr>
            <w:tcW w:w="1890" w:type="dxa"/>
          </w:tcPr>
          <w:p w14:paraId="5D37189C" w14:textId="77777777" w:rsidR="008120AD" w:rsidRDefault="008120AD" w:rsidP="0049479F">
            <w:r>
              <w:t>Actual 14/15</w:t>
            </w:r>
          </w:p>
        </w:tc>
        <w:tc>
          <w:tcPr>
            <w:tcW w:w="1890" w:type="dxa"/>
          </w:tcPr>
          <w:p w14:paraId="25B80D7D" w14:textId="77777777" w:rsidR="008120AD" w:rsidRDefault="008120AD" w:rsidP="0049479F">
            <w:r>
              <w:t>Budget 16/17</w:t>
            </w:r>
          </w:p>
        </w:tc>
      </w:tr>
      <w:tr w:rsidR="008120AD" w14:paraId="47143E83" w14:textId="77777777" w:rsidTr="0049479F">
        <w:tc>
          <w:tcPr>
            <w:tcW w:w="2628" w:type="dxa"/>
            <w:shd w:val="clear" w:color="auto" w:fill="auto"/>
          </w:tcPr>
          <w:p w14:paraId="530E955E" w14:textId="77777777" w:rsidR="008120AD" w:rsidRDefault="008120AD" w:rsidP="0049479F">
            <w:r>
              <w:t>Donations Chequeing</w:t>
            </w:r>
          </w:p>
        </w:tc>
        <w:tc>
          <w:tcPr>
            <w:tcW w:w="1890" w:type="dxa"/>
          </w:tcPr>
          <w:p w14:paraId="71851927" w14:textId="77777777" w:rsidR="008120AD" w:rsidRDefault="008120AD" w:rsidP="0049479F">
            <w:pPr>
              <w:jc w:val="right"/>
            </w:pPr>
            <w:r>
              <w:t>3,200</w:t>
            </w:r>
            <w:r>
              <w:rPr>
                <w:rStyle w:val="FootnoteReference"/>
              </w:rPr>
              <w:footnoteReference w:id="2"/>
            </w:r>
          </w:p>
        </w:tc>
        <w:tc>
          <w:tcPr>
            <w:tcW w:w="1890" w:type="dxa"/>
          </w:tcPr>
          <w:p w14:paraId="1A22DD7D" w14:textId="77777777" w:rsidR="008120AD" w:rsidRDefault="008120AD" w:rsidP="0049479F">
            <w:pPr>
              <w:jc w:val="right"/>
            </w:pPr>
            <w:r>
              <w:t>3,419.65</w:t>
            </w:r>
          </w:p>
        </w:tc>
        <w:tc>
          <w:tcPr>
            <w:tcW w:w="1890" w:type="dxa"/>
          </w:tcPr>
          <w:p w14:paraId="4697C2AD" w14:textId="77777777" w:rsidR="008120AD" w:rsidRDefault="008120AD" w:rsidP="0049479F">
            <w:pPr>
              <w:jc w:val="right"/>
            </w:pPr>
            <w:r>
              <w:t>300</w:t>
            </w:r>
          </w:p>
        </w:tc>
      </w:tr>
      <w:tr w:rsidR="008120AD" w14:paraId="7EA783A7" w14:textId="77777777" w:rsidTr="0049479F">
        <w:tc>
          <w:tcPr>
            <w:tcW w:w="2628" w:type="dxa"/>
            <w:shd w:val="clear" w:color="auto" w:fill="auto"/>
          </w:tcPr>
          <w:p w14:paraId="6EAF155B" w14:textId="77777777" w:rsidR="008120AD" w:rsidRDefault="008120AD" w:rsidP="0049479F">
            <w:r>
              <w:t>Donations Pay Pal</w:t>
            </w:r>
          </w:p>
        </w:tc>
        <w:tc>
          <w:tcPr>
            <w:tcW w:w="1890" w:type="dxa"/>
          </w:tcPr>
          <w:p w14:paraId="4DD3483B" w14:textId="77777777" w:rsidR="008120AD" w:rsidRDefault="008120AD" w:rsidP="0049479F">
            <w:pPr>
              <w:jc w:val="right"/>
            </w:pPr>
            <w:r>
              <w:t>360</w:t>
            </w:r>
            <w:r>
              <w:rPr>
                <w:rStyle w:val="FootnoteReference"/>
              </w:rPr>
              <w:footnoteReference w:id="3"/>
            </w:r>
          </w:p>
        </w:tc>
        <w:tc>
          <w:tcPr>
            <w:tcW w:w="1890" w:type="dxa"/>
          </w:tcPr>
          <w:p w14:paraId="3D86E928" w14:textId="77777777" w:rsidR="008120AD" w:rsidRDefault="008120AD" w:rsidP="0049479F">
            <w:pPr>
              <w:jc w:val="right"/>
            </w:pPr>
            <w:r>
              <w:t xml:space="preserve">485.00  </w:t>
            </w:r>
          </w:p>
        </w:tc>
        <w:tc>
          <w:tcPr>
            <w:tcW w:w="1890" w:type="dxa"/>
          </w:tcPr>
          <w:p w14:paraId="7BAB88AE" w14:textId="77777777" w:rsidR="008120AD" w:rsidRDefault="008120AD" w:rsidP="0049479F">
            <w:pPr>
              <w:jc w:val="right"/>
            </w:pPr>
            <w:r>
              <w:t>360</w:t>
            </w:r>
          </w:p>
        </w:tc>
      </w:tr>
      <w:tr w:rsidR="008120AD" w14:paraId="7D3E3F2D" w14:textId="77777777" w:rsidTr="0049479F">
        <w:tc>
          <w:tcPr>
            <w:tcW w:w="2628" w:type="dxa"/>
            <w:shd w:val="clear" w:color="auto" w:fill="auto"/>
          </w:tcPr>
          <w:p w14:paraId="7B729507" w14:textId="77777777" w:rsidR="008120AD" w:rsidRDefault="008120AD" w:rsidP="0049479F">
            <w:r>
              <w:t>Workshops</w:t>
            </w:r>
          </w:p>
        </w:tc>
        <w:tc>
          <w:tcPr>
            <w:tcW w:w="1890" w:type="dxa"/>
          </w:tcPr>
          <w:p w14:paraId="75CC1504" w14:textId="77777777" w:rsidR="008120AD" w:rsidRDefault="008120AD" w:rsidP="0049479F">
            <w:pPr>
              <w:jc w:val="right"/>
            </w:pPr>
            <w:r>
              <w:t>0</w:t>
            </w:r>
          </w:p>
        </w:tc>
        <w:tc>
          <w:tcPr>
            <w:tcW w:w="1890" w:type="dxa"/>
          </w:tcPr>
          <w:p w14:paraId="314F34D0" w14:textId="77777777" w:rsidR="008120AD" w:rsidRDefault="008120AD" w:rsidP="0049479F">
            <w:pPr>
              <w:jc w:val="right"/>
            </w:pPr>
            <w:r>
              <w:t>0</w:t>
            </w:r>
          </w:p>
        </w:tc>
        <w:tc>
          <w:tcPr>
            <w:tcW w:w="1890" w:type="dxa"/>
          </w:tcPr>
          <w:p w14:paraId="46A9DADE" w14:textId="77777777" w:rsidR="008120AD" w:rsidRDefault="008120AD" w:rsidP="0049479F">
            <w:pPr>
              <w:jc w:val="right"/>
            </w:pPr>
            <w:r>
              <w:t>0</w:t>
            </w:r>
          </w:p>
        </w:tc>
      </w:tr>
      <w:tr w:rsidR="008120AD" w14:paraId="3424358B" w14:textId="77777777" w:rsidTr="0049479F">
        <w:tc>
          <w:tcPr>
            <w:tcW w:w="2628" w:type="dxa"/>
            <w:shd w:val="clear" w:color="auto" w:fill="auto"/>
          </w:tcPr>
          <w:p w14:paraId="580A9AF5" w14:textId="77777777" w:rsidR="008120AD" w:rsidRDefault="008120AD" w:rsidP="0049479F">
            <w:r>
              <w:t>Bank</w:t>
            </w:r>
          </w:p>
        </w:tc>
        <w:tc>
          <w:tcPr>
            <w:tcW w:w="1890" w:type="dxa"/>
          </w:tcPr>
          <w:p w14:paraId="29E77B5A" w14:textId="77777777" w:rsidR="008120AD" w:rsidRDefault="008120AD" w:rsidP="0049479F">
            <w:pPr>
              <w:jc w:val="right"/>
            </w:pPr>
            <w:r>
              <w:t>1</w:t>
            </w:r>
          </w:p>
        </w:tc>
        <w:tc>
          <w:tcPr>
            <w:tcW w:w="1890" w:type="dxa"/>
          </w:tcPr>
          <w:p w14:paraId="3073F713" w14:textId="77777777" w:rsidR="008120AD" w:rsidRDefault="008120AD" w:rsidP="0049479F">
            <w:pPr>
              <w:jc w:val="right"/>
            </w:pPr>
            <w:r>
              <w:t>1.83</w:t>
            </w:r>
          </w:p>
        </w:tc>
        <w:tc>
          <w:tcPr>
            <w:tcW w:w="1890" w:type="dxa"/>
          </w:tcPr>
          <w:p w14:paraId="6BDA6366" w14:textId="77777777" w:rsidR="008120AD" w:rsidRDefault="008120AD" w:rsidP="0049479F">
            <w:pPr>
              <w:jc w:val="right"/>
            </w:pPr>
            <w:r>
              <w:t>0</w:t>
            </w:r>
          </w:p>
        </w:tc>
      </w:tr>
      <w:tr w:rsidR="008120AD" w14:paraId="1C655E45" w14:textId="77777777" w:rsidTr="0049479F">
        <w:tc>
          <w:tcPr>
            <w:tcW w:w="2628" w:type="dxa"/>
            <w:shd w:val="clear" w:color="auto" w:fill="auto"/>
          </w:tcPr>
          <w:p w14:paraId="6C26E824" w14:textId="77777777" w:rsidR="008120AD" w:rsidRDefault="008120AD" w:rsidP="0049479F">
            <w:r>
              <w:t>Grants/projects</w:t>
            </w:r>
          </w:p>
        </w:tc>
        <w:tc>
          <w:tcPr>
            <w:tcW w:w="1890" w:type="dxa"/>
          </w:tcPr>
          <w:p w14:paraId="2BA49455" w14:textId="77777777" w:rsidR="008120AD" w:rsidRDefault="008120AD" w:rsidP="0049479F">
            <w:pPr>
              <w:jc w:val="right"/>
            </w:pPr>
            <w:r>
              <w:t>0</w:t>
            </w:r>
          </w:p>
        </w:tc>
        <w:tc>
          <w:tcPr>
            <w:tcW w:w="1890" w:type="dxa"/>
          </w:tcPr>
          <w:p w14:paraId="63DB400B" w14:textId="77777777" w:rsidR="008120AD" w:rsidRDefault="008120AD" w:rsidP="0049479F">
            <w:pPr>
              <w:jc w:val="right"/>
            </w:pPr>
            <w:r>
              <w:t>91.95</w:t>
            </w:r>
          </w:p>
        </w:tc>
        <w:tc>
          <w:tcPr>
            <w:tcW w:w="1890" w:type="dxa"/>
          </w:tcPr>
          <w:p w14:paraId="6D34C48E" w14:textId="77777777" w:rsidR="008120AD" w:rsidRDefault="008120AD" w:rsidP="0049479F">
            <w:pPr>
              <w:jc w:val="right"/>
            </w:pPr>
            <w:r>
              <w:t>0</w:t>
            </w:r>
          </w:p>
        </w:tc>
      </w:tr>
      <w:tr w:rsidR="008120AD" w14:paraId="34C1C53F" w14:textId="77777777" w:rsidTr="0049479F">
        <w:tc>
          <w:tcPr>
            <w:tcW w:w="2628" w:type="dxa"/>
            <w:shd w:val="clear" w:color="auto" w:fill="auto"/>
          </w:tcPr>
          <w:p w14:paraId="77DE3915" w14:textId="77777777" w:rsidR="008120AD" w:rsidRDefault="008120AD" w:rsidP="0049479F">
            <w:r>
              <w:t>Grant seed money</w:t>
            </w:r>
          </w:p>
        </w:tc>
        <w:tc>
          <w:tcPr>
            <w:tcW w:w="1890" w:type="dxa"/>
          </w:tcPr>
          <w:p w14:paraId="2340C76D" w14:textId="77777777" w:rsidR="008120AD" w:rsidRDefault="008120AD" w:rsidP="0049479F">
            <w:pPr>
              <w:jc w:val="right"/>
            </w:pPr>
            <w:r>
              <w:t>0</w:t>
            </w:r>
          </w:p>
        </w:tc>
        <w:tc>
          <w:tcPr>
            <w:tcW w:w="1890" w:type="dxa"/>
          </w:tcPr>
          <w:p w14:paraId="072F708D" w14:textId="77777777" w:rsidR="008120AD" w:rsidRDefault="008120AD" w:rsidP="0049479F">
            <w:pPr>
              <w:jc w:val="right"/>
            </w:pPr>
            <w:r>
              <w:t>0</w:t>
            </w:r>
          </w:p>
        </w:tc>
        <w:tc>
          <w:tcPr>
            <w:tcW w:w="1890" w:type="dxa"/>
          </w:tcPr>
          <w:p w14:paraId="41FD7D6E" w14:textId="77777777" w:rsidR="008120AD" w:rsidRDefault="008120AD" w:rsidP="0049479F">
            <w:pPr>
              <w:jc w:val="right"/>
            </w:pPr>
            <w:r>
              <w:t>0</w:t>
            </w:r>
          </w:p>
        </w:tc>
      </w:tr>
      <w:tr w:rsidR="008120AD" w14:paraId="0B889EBF" w14:textId="77777777" w:rsidTr="0049479F">
        <w:tc>
          <w:tcPr>
            <w:tcW w:w="2628" w:type="dxa"/>
            <w:shd w:val="clear" w:color="auto" w:fill="auto"/>
          </w:tcPr>
          <w:p w14:paraId="08B8C507" w14:textId="77777777" w:rsidR="008120AD" w:rsidRDefault="008120AD" w:rsidP="0049479F">
            <w:r>
              <w:t>Miscellaneous</w:t>
            </w:r>
          </w:p>
        </w:tc>
        <w:tc>
          <w:tcPr>
            <w:tcW w:w="1890" w:type="dxa"/>
          </w:tcPr>
          <w:p w14:paraId="336B476E" w14:textId="77777777" w:rsidR="008120AD" w:rsidRDefault="008120AD" w:rsidP="0049479F">
            <w:pPr>
              <w:jc w:val="right"/>
            </w:pPr>
            <w:r>
              <w:t>0</w:t>
            </w:r>
          </w:p>
        </w:tc>
        <w:tc>
          <w:tcPr>
            <w:tcW w:w="1890" w:type="dxa"/>
          </w:tcPr>
          <w:p w14:paraId="35A00F0B" w14:textId="77777777" w:rsidR="008120AD" w:rsidRDefault="008120AD" w:rsidP="0049479F">
            <w:pPr>
              <w:jc w:val="right"/>
            </w:pPr>
            <w:r>
              <w:t>0</w:t>
            </w:r>
          </w:p>
        </w:tc>
        <w:tc>
          <w:tcPr>
            <w:tcW w:w="1890" w:type="dxa"/>
          </w:tcPr>
          <w:p w14:paraId="586DE8CB" w14:textId="77777777" w:rsidR="008120AD" w:rsidRDefault="008120AD" w:rsidP="0049479F">
            <w:pPr>
              <w:jc w:val="right"/>
            </w:pPr>
            <w:r>
              <w:t>0</w:t>
            </w:r>
          </w:p>
        </w:tc>
      </w:tr>
      <w:tr w:rsidR="008120AD" w14:paraId="682F0A72" w14:textId="77777777" w:rsidTr="0049479F">
        <w:tc>
          <w:tcPr>
            <w:tcW w:w="2628" w:type="dxa"/>
            <w:shd w:val="clear" w:color="auto" w:fill="auto"/>
          </w:tcPr>
          <w:p w14:paraId="133EC78D" w14:textId="77777777" w:rsidR="008120AD" w:rsidRPr="006676C4" w:rsidRDefault="008120AD" w:rsidP="0049479F">
            <w:pPr>
              <w:rPr>
                <w:b/>
              </w:rPr>
            </w:pPr>
            <w:r w:rsidRPr="006676C4">
              <w:rPr>
                <w:b/>
              </w:rPr>
              <w:t>TOTAL</w:t>
            </w:r>
          </w:p>
        </w:tc>
        <w:tc>
          <w:tcPr>
            <w:tcW w:w="1890" w:type="dxa"/>
          </w:tcPr>
          <w:p w14:paraId="6A7A2E9B" w14:textId="77777777" w:rsidR="008120AD" w:rsidRPr="006676C4" w:rsidRDefault="008120AD" w:rsidP="0049479F">
            <w:pPr>
              <w:jc w:val="right"/>
              <w:rPr>
                <w:b/>
              </w:rPr>
            </w:pPr>
            <w:r>
              <w:rPr>
                <w:b/>
              </w:rPr>
              <w:t>356</w:t>
            </w:r>
            <w:r>
              <w:rPr>
                <w:b/>
              </w:rPr>
              <w:fldChar w:fldCharType="begin"/>
            </w:r>
            <w:r>
              <w:rPr>
                <w:b/>
              </w:rPr>
              <w:instrText xml:space="preserve"> =SUM(ABOVE) </w:instrText>
            </w:r>
            <w:r>
              <w:rPr>
                <w:b/>
              </w:rPr>
              <w:fldChar w:fldCharType="separate"/>
            </w:r>
            <w:r>
              <w:rPr>
                <w:b/>
                <w:noProof/>
              </w:rPr>
              <w:t>1</w:t>
            </w:r>
            <w:r>
              <w:rPr>
                <w:b/>
              </w:rPr>
              <w:fldChar w:fldCharType="end"/>
            </w:r>
          </w:p>
        </w:tc>
        <w:tc>
          <w:tcPr>
            <w:tcW w:w="1890" w:type="dxa"/>
          </w:tcPr>
          <w:p w14:paraId="6C5AEDF6" w14:textId="77777777" w:rsidR="008120AD" w:rsidRPr="006676C4" w:rsidRDefault="008120AD" w:rsidP="0049479F">
            <w:pPr>
              <w:jc w:val="right"/>
              <w:rPr>
                <w:b/>
              </w:rPr>
            </w:pPr>
            <w:r>
              <w:rPr>
                <w:b/>
              </w:rPr>
              <w:fldChar w:fldCharType="begin"/>
            </w:r>
            <w:r>
              <w:rPr>
                <w:b/>
              </w:rPr>
              <w:instrText xml:space="preserve"> =SUM(ABOVE) </w:instrText>
            </w:r>
            <w:r>
              <w:rPr>
                <w:b/>
              </w:rPr>
              <w:fldChar w:fldCharType="separate"/>
            </w:r>
            <w:r>
              <w:rPr>
                <w:b/>
                <w:noProof/>
              </w:rPr>
              <w:t>3,998.43</w:t>
            </w:r>
            <w:r>
              <w:rPr>
                <w:b/>
              </w:rPr>
              <w:fldChar w:fldCharType="end"/>
            </w:r>
          </w:p>
        </w:tc>
        <w:tc>
          <w:tcPr>
            <w:tcW w:w="1890" w:type="dxa"/>
          </w:tcPr>
          <w:p w14:paraId="7767E7A8" w14:textId="77777777" w:rsidR="008120AD" w:rsidRPr="006676C4" w:rsidRDefault="008120AD" w:rsidP="0049479F">
            <w:pPr>
              <w:jc w:val="right"/>
              <w:rPr>
                <w:b/>
              </w:rPr>
            </w:pPr>
            <w:r>
              <w:rPr>
                <w:b/>
              </w:rPr>
              <w:fldChar w:fldCharType="begin"/>
            </w:r>
            <w:r>
              <w:rPr>
                <w:b/>
              </w:rPr>
              <w:instrText xml:space="preserve"> =SUM(ABOVE) </w:instrText>
            </w:r>
            <w:r>
              <w:rPr>
                <w:b/>
              </w:rPr>
              <w:fldChar w:fldCharType="separate"/>
            </w:r>
            <w:r>
              <w:rPr>
                <w:b/>
                <w:noProof/>
              </w:rPr>
              <w:t>660</w:t>
            </w:r>
            <w:r>
              <w:rPr>
                <w:b/>
              </w:rPr>
              <w:fldChar w:fldCharType="end"/>
            </w:r>
          </w:p>
        </w:tc>
      </w:tr>
    </w:tbl>
    <w:p w14:paraId="6FB09F56" w14:textId="77777777" w:rsidR="008120AD" w:rsidRDefault="008120AD" w:rsidP="008120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927"/>
        <w:gridCol w:w="1927"/>
        <w:gridCol w:w="1927"/>
      </w:tblGrid>
      <w:tr w:rsidR="008120AD" w14:paraId="5B5E0400" w14:textId="77777777" w:rsidTr="0049479F">
        <w:tc>
          <w:tcPr>
            <w:tcW w:w="2591" w:type="dxa"/>
            <w:shd w:val="clear" w:color="auto" w:fill="auto"/>
          </w:tcPr>
          <w:p w14:paraId="65DDA3F8" w14:textId="77777777" w:rsidR="008120AD" w:rsidRDefault="008120AD" w:rsidP="0049479F">
            <w:r>
              <w:t>EXPENSES</w:t>
            </w:r>
          </w:p>
        </w:tc>
        <w:tc>
          <w:tcPr>
            <w:tcW w:w="1927" w:type="dxa"/>
          </w:tcPr>
          <w:p w14:paraId="02E85982" w14:textId="77777777" w:rsidR="008120AD" w:rsidRDefault="008120AD" w:rsidP="0049479F">
            <w:r>
              <w:t>Budget 15/16</w:t>
            </w:r>
          </w:p>
        </w:tc>
        <w:tc>
          <w:tcPr>
            <w:tcW w:w="1927" w:type="dxa"/>
          </w:tcPr>
          <w:p w14:paraId="26BE7FBC" w14:textId="77777777" w:rsidR="008120AD" w:rsidRDefault="008120AD" w:rsidP="0049479F">
            <w:r>
              <w:t>Actual 15/16</w:t>
            </w:r>
          </w:p>
        </w:tc>
        <w:tc>
          <w:tcPr>
            <w:tcW w:w="1927" w:type="dxa"/>
          </w:tcPr>
          <w:p w14:paraId="753708EB" w14:textId="77777777" w:rsidR="008120AD" w:rsidRDefault="008120AD" w:rsidP="0049479F">
            <w:r>
              <w:t>Budget 16/17</w:t>
            </w:r>
          </w:p>
        </w:tc>
      </w:tr>
      <w:tr w:rsidR="008120AD" w14:paraId="4F3CADC3" w14:textId="77777777" w:rsidTr="0049479F">
        <w:tc>
          <w:tcPr>
            <w:tcW w:w="2591" w:type="dxa"/>
            <w:shd w:val="clear" w:color="auto" w:fill="auto"/>
          </w:tcPr>
          <w:p w14:paraId="40CC4BBE" w14:textId="77777777" w:rsidR="008120AD" w:rsidRDefault="008120AD" w:rsidP="0049479F">
            <w:r>
              <w:t>Meeting Expenses</w:t>
            </w:r>
          </w:p>
        </w:tc>
        <w:tc>
          <w:tcPr>
            <w:tcW w:w="1927" w:type="dxa"/>
          </w:tcPr>
          <w:p w14:paraId="78828665" w14:textId="77777777" w:rsidR="008120AD" w:rsidRDefault="008120AD" w:rsidP="0049479F">
            <w:pPr>
              <w:jc w:val="right"/>
            </w:pPr>
            <w:r>
              <w:t>50</w:t>
            </w:r>
          </w:p>
        </w:tc>
        <w:tc>
          <w:tcPr>
            <w:tcW w:w="1927" w:type="dxa"/>
          </w:tcPr>
          <w:p w14:paraId="426AD0BE" w14:textId="77777777" w:rsidR="008120AD" w:rsidRDefault="008120AD" w:rsidP="0049479F">
            <w:pPr>
              <w:jc w:val="right"/>
            </w:pPr>
            <w:r>
              <w:t>9.00</w:t>
            </w:r>
          </w:p>
        </w:tc>
        <w:tc>
          <w:tcPr>
            <w:tcW w:w="1927" w:type="dxa"/>
          </w:tcPr>
          <w:p w14:paraId="16D6F333" w14:textId="77777777" w:rsidR="008120AD" w:rsidRDefault="008120AD" w:rsidP="0049479F">
            <w:pPr>
              <w:jc w:val="right"/>
            </w:pPr>
            <w:r>
              <w:t>50</w:t>
            </w:r>
          </w:p>
        </w:tc>
      </w:tr>
      <w:tr w:rsidR="008120AD" w14:paraId="479F6180" w14:textId="77777777" w:rsidTr="0049479F">
        <w:tc>
          <w:tcPr>
            <w:tcW w:w="2591" w:type="dxa"/>
            <w:shd w:val="clear" w:color="auto" w:fill="auto"/>
          </w:tcPr>
          <w:p w14:paraId="65E3018E" w14:textId="77777777" w:rsidR="008120AD" w:rsidRDefault="008120AD" w:rsidP="0049479F">
            <w:r>
              <w:t>Office Supplies</w:t>
            </w:r>
          </w:p>
        </w:tc>
        <w:tc>
          <w:tcPr>
            <w:tcW w:w="1927" w:type="dxa"/>
          </w:tcPr>
          <w:p w14:paraId="50BF9E1E" w14:textId="77777777" w:rsidR="008120AD" w:rsidRDefault="008120AD" w:rsidP="0049479F">
            <w:pPr>
              <w:jc w:val="right"/>
            </w:pPr>
            <w:r>
              <w:t>50</w:t>
            </w:r>
          </w:p>
        </w:tc>
        <w:tc>
          <w:tcPr>
            <w:tcW w:w="1927" w:type="dxa"/>
          </w:tcPr>
          <w:p w14:paraId="6221D690" w14:textId="77777777" w:rsidR="008120AD" w:rsidRDefault="008120AD" w:rsidP="0049479F">
            <w:pPr>
              <w:jc w:val="right"/>
            </w:pPr>
            <w:r>
              <w:t>0</w:t>
            </w:r>
          </w:p>
        </w:tc>
        <w:tc>
          <w:tcPr>
            <w:tcW w:w="1927" w:type="dxa"/>
          </w:tcPr>
          <w:p w14:paraId="47314135" w14:textId="77777777" w:rsidR="008120AD" w:rsidRDefault="008120AD" w:rsidP="0049479F">
            <w:pPr>
              <w:jc w:val="right"/>
            </w:pPr>
            <w:r>
              <w:t>30</w:t>
            </w:r>
          </w:p>
        </w:tc>
      </w:tr>
      <w:tr w:rsidR="008120AD" w14:paraId="3189F375" w14:textId="77777777" w:rsidTr="0049479F">
        <w:tc>
          <w:tcPr>
            <w:tcW w:w="2591" w:type="dxa"/>
            <w:shd w:val="clear" w:color="auto" w:fill="auto"/>
          </w:tcPr>
          <w:p w14:paraId="486C3DC5" w14:textId="77777777" w:rsidR="008120AD" w:rsidRDefault="008120AD" w:rsidP="0049479F">
            <w:r>
              <w:t>Printing/Copying</w:t>
            </w:r>
          </w:p>
        </w:tc>
        <w:tc>
          <w:tcPr>
            <w:tcW w:w="1927" w:type="dxa"/>
          </w:tcPr>
          <w:p w14:paraId="7B8A9956" w14:textId="77777777" w:rsidR="008120AD" w:rsidRDefault="008120AD" w:rsidP="0049479F">
            <w:pPr>
              <w:jc w:val="right"/>
            </w:pPr>
            <w:r>
              <w:t>700</w:t>
            </w:r>
            <w:r>
              <w:rPr>
                <w:rStyle w:val="FootnoteReference"/>
              </w:rPr>
              <w:footnoteReference w:id="4"/>
            </w:r>
          </w:p>
        </w:tc>
        <w:tc>
          <w:tcPr>
            <w:tcW w:w="1927" w:type="dxa"/>
          </w:tcPr>
          <w:p w14:paraId="0F29723B" w14:textId="77777777" w:rsidR="008120AD" w:rsidRDefault="008120AD" w:rsidP="0049479F">
            <w:pPr>
              <w:jc w:val="right"/>
            </w:pPr>
            <w:r>
              <w:t>79.10</w:t>
            </w:r>
          </w:p>
        </w:tc>
        <w:tc>
          <w:tcPr>
            <w:tcW w:w="1927" w:type="dxa"/>
          </w:tcPr>
          <w:p w14:paraId="440FE9D2" w14:textId="77777777" w:rsidR="008120AD" w:rsidRDefault="008120AD" w:rsidP="0049479F">
            <w:pPr>
              <w:jc w:val="right"/>
            </w:pPr>
            <w:r>
              <w:t>100</w:t>
            </w:r>
          </w:p>
        </w:tc>
      </w:tr>
      <w:tr w:rsidR="008120AD" w14:paraId="096D4325" w14:textId="77777777" w:rsidTr="0049479F">
        <w:tc>
          <w:tcPr>
            <w:tcW w:w="2591" w:type="dxa"/>
            <w:shd w:val="clear" w:color="auto" w:fill="auto"/>
          </w:tcPr>
          <w:p w14:paraId="144DA500" w14:textId="77777777" w:rsidR="008120AD" w:rsidRDefault="008120AD" w:rsidP="0049479F">
            <w:r>
              <w:t>Transportation</w:t>
            </w:r>
          </w:p>
        </w:tc>
        <w:tc>
          <w:tcPr>
            <w:tcW w:w="1927" w:type="dxa"/>
          </w:tcPr>
          <w:p w14:paraId="01BFAE25" w14:textId="77777777" w:rsidR="008120AD" w:rsidRDefault="008120AD" w:rsidP="0049479F">
            <w:pPr>
              <w:jc w:val="right"/>
            </w:pPr>
            <w:r>
              <w:t>0</w:t>
            </w:r>
          </w:p>
        </w:tc>
        <w:tc>
          <w:tcPr>
            <w:tcW w:w="1927" w:type="dxa"/>
          </w:tcPr>
          <w:p w14:paraId="31887D4F" w14:textId="77777777" w:rsidR="008120AD" w:rsidRDefault="008120AD" w:rsidP="0049479F">
            <w:pPr>
              <w:jc w:val="right"/>
            </w:pPr>
            <w:r>
              <w:t>0</w:t>
            </w:r>
          </w:p>
        </w:tc>
        <w:tc>
          <w:tcPr>
            <w:tcW w:w="1927" w:type="dxa"/>
          </w:tcPr>
          <w:p w14:paraId="5C3C1E8F" w14:textId="77777777" w:rsidR="008120AD" w:rsidRDefault="008120AD" w:rsidP="0049479F">
            <w:pPr>
              <w:jc w:val="right"/>
            </w:pPr>
            <w:r>
              <w:t>0</w:t>
            </w:r>
          </w:p>
        </w:tc>
      </w:tr>
      <w:tr w:rsidR="008120AD" w14:paraId="48342D59" w14:textId="77777777" w:rsidTr="0049479F">
        <w:tc>
          <w:tcPr>
            <w:tcW w:w="2591" w:type="dxa"/>
            <w:shd w:val="clear" w:color="auto" w:fill="auto"/>
          </w:tcPr>
          <w:p w14:paraId="3FB5AB32" w14:textId="77777777" w:rsidR="008120AD" w:rsidRDefault="008120AD" w:rsidP="0049479F">
            <w:r>
              <w:t>Postage</w:t>
            </w:r>
          </w:p>
        </w:tc>
        <w:tc>
          <w:tcPr>
            <w:tcW w:w="1927" w:type="dxa"/>
          </w:tcPr>
          <w:p w14:paraId="37758551" w14:textId="77777777" w:rsidR="008120AD" w:rsidRDefault="008120AD" w:rsidP="0049479F">
            <w:pPr>
              <w:jc w:val="right"/>
            </w:pPr>
            <w:r>
              <w:t>50</w:t>
            </w:r>
          </w:p>
        </w:tc>
        <w:tc>
          <w:tcPr>
            <w:tcW w:w="1927" w:type="dxa"/>
          </w:tcPr>
          <w:p w14:paraId="32883A56" w14:textId="77777777" w:rsidR="008120AD" w:rsidRDefault="008120AD" w:rsidP="0049479F">
            <w:pPr>
              <w:jc w:val="right"/>
            </w:pPr>
            <w:r>
              <w:t>0</w:t>
            </w:r>
          </w:p>
        </w:tc>
        <w:tc>
          <w:tcPr>
            <w:tcW w:w="1927" w:type="dxa"/>
          </w:tcPr>
          <w:p w14:paraId="2F32BAC7" w14:textId="77777777" w:rsidR="008120AD" w:rsidRDefault="008120AD" w:rsidP="0049479F">
            <w:pPr>
              <w:jc w:val="right"/>
            </w:pPr>
            <w:r>
              <w:t>0</w:t>
            </w:r>
          </w:p>
        </w:tc>
      </w:tr>
      <w:tr w:rsidR="008120AD" w14:paraId="16FBE784" w14:textId="77777777" w:rsidTr="0049479F">
        <w:tc>
          <w:tcPr>
            <w:tcW w:w="2591" w:type="dxa"/>
            <w:shd w:val="clear" w:color="auto" w:fill="auto"/>
          </w:tcPr>
          <w:p w14:paraId="14BC8CFF" w14:textId="77777777" w:rsidR="008120AD" w:rsidRDefault="008120AD" w:rsidP="0049479F">
            <w:r>
              <w:t>Grants</w:t>
            </w:r>
          </w:p>
        </w:tc>
        <w:tc>
          <w:tcPr>
            <w:tcW w:w="1927" w:type="dxa"/>
          </w:tcPr>
          <w:p w14:paraId="2079C810" w14:textId="77777777" w:rsidR="008120AD" w:rsidRDefault="008120AD" w:rsidP="0049479F">
            <w:pPr>
              <w:jc w:val="right"/>
            </w:pPr>
            <w:r>
              <w:t>0</w:t>
            </w:r>
          </w:p>
        </w:tc>
        <w:tc>
          <w:tcPr>
            <w:tcW w:w="1927" w:type="dxa"/>
          </w:tcPr>
          <w:p w14:paraId="7AFCD4D7" w14:textId="77777777" w:rsidR="008120AD" w:rsidRDefault="008120AD" w:rsidP="0049479F">
            <w:pPr>
              <w:jc w:val="right"/>
            </w:pPr>
            <w:r>
              <w:t>0</w:t>
            </w:r>
          </w:p>
        </w:tc>
        <w:tc>
          <w:tcPr>
            <w:tcW w:w="1927" w:type="dxa"/>
          </w:tcPr>
          <w:p w14:paraId="507E43CD" w14:textId="77777777" w:rsidR="008120AD" w:rsidRDefault="008120AD" w:rsidP="0049479F">
            <w:pPr>
              <w:jc w:val="right"/>
            </w:pPr>
            <w:r>
              <w:t>0</w:t>
            </w:r>
          </w:p>
        </w:tc>
      </w:tr>
      <w:tr w:rsidR="008120AD" w14:paraId="3EB36E50" w14:textId="77777777" w:rsidTr="0049479F">
        <w:tc>
          <w:tcPr>
            <w:tcW w:w="2591" w:type="dxa"/>
            <w:shd w:val="clear" w:color="auto" w:fill="auto"/>
          </w:tcPr>
          <w:p w14:paraId="58ED76D6" w14:textId="77777777" w:rsidR="008120AD" w:rsidRPr="001B7903" w:rsidRDefault="008120AD" w:rsidP="0049479F">
            <w:r>
              <w:t>Projects</w:t>
            </w:r>
          </w:p>
        </w:tc>
        <w:tc>
          <w:tcPr>
            <w:tcW w:w="1927" w:type="dxa"/>
          </w:tcPr>
          <w:p w14:paraId="28F4DF50" w14:textId="77777777" w:rsidR="008120AD" w:rsidRDefault="008120AD" w:rsidP="0049479F">
            <w:pPr>
              <w:jc w:val="right"/>
            </w:pPr>
            <w:r>
              <w:t>400</w:t>
            </w:r>
          </w:p>
        </w:tc>
        <w:tc>
          <w:tcPr>
            <w:tcW w:w="1927" w:type="dxa"/>
          </w:tcPr>
          <w:p w14:paraId="5527C54C" w14:textId="77777777" w:rsidR="008120AD" w:rsidRDefault="008120AD" w:rsidP="0049479F">
            <w:pPr>
              <w:jc w:val="right"/>
            </w:pPr>
            <w:r>
              <w:t>203.46</w:t>
            </w:r>
          </w:p>
        </w:tc>
        <w:tc>
          <w:tcPr>
            <w:tcW w:w="1927" w:type="dxa"/>
          </w:tcPr>
          <w:p w14:paraId="71C8C827" w14:textId="77777777" w:rsidR="008120AD" w:rsidRDefault="008120AD" w:rsidP="0049479F">
            <w:pPr>
              <w:jc w:val="right"/>
            </w:pPr>
            <w:r>
              <w:t>250</w:t>
            </w:r>
          </w:p>
        </w:tc>
      </w:tr>
      <w:tr w:rsidR="008120AD" w14:paraId="005E433E" w14:textId="77777777" w:rsidTr="0049479F">
        <w:tc>
          <w:tcPr>
            <w:tcW w:w="2591" w:type="dxa"/>
            <w:shd w:val="clear" w:color="auto" w:fill="auto"/>
          </w:tcPr>
          <w:p w14:paraId="049BCD81" w14:textId="77777777" w:rsidR="008120AD" w:rsidRDefault="008120AD" w:rsidP="0049479F">
            <w:r>
              <w:t>Bank</w:t>
            </w:r>
          </w:p>
        </w:tc>
        <w:tc>
          <w:tcPr>
            <w:tcW w:w="1927" w:type="dxa"/>
          </w:tcPr>
          <w:p w14:paraId="68278A8E" w14:textId="77777777" w:rsidR="008120AD" w:rsidRDefault="008120AD" w:rsidP="0049479F">
            <w:pPr>
              <w:jc w:val="right"/>
            </w:pPr>
            <w:r>
              <w:t>0</w:t>
            </w:r>
          </w:p>
        </w:tc>
        <w:tc>
          <w:tcPr>
            <w:tcW w:w="1927" w:type="dxa"/>
          </w:tcPr>
          <w:p w14:paraId="4FFB485F" w14:textId="77777777" w:rsidR="008120AD" w:rsidRDefault="008120AD" w:rsidP="0049479F">
            <w:pPr>
              <w:jc w:val="right"/>
            </w:pPr>
            <w:r>
              <w:t>1.60</w:t>
            </w:r>
          </w:p>
        </w:tc>
        <w:tc>
          <w:tcPr>
            <w:tcW w:w="1927" w:type="dxa"/>
          </w:tcPr>
          <w:p w14:paraId="761435BB" w14:textId="77777777" w:rsidR="008120AD" w:rsidRDefault="008120AD" w:rsidP="0049479F">
            <w:pPr>
              <w:jc w:val="right"/>
            </w:pPr>
            <w:r>
              <w:t>0</w:t>
            </w:r>
          </w:p>
        </w:tc>
      </w:tr>
      <w:tr w:rsidR="008120AD" w14:paraId="34562FA6" w14:textId="77777777" w:rsidTr="0049479F">
        <w:tc>
          <w:tcPr>
            <w:tcW w:w="2591" w:type="dxa"/>
            <w:shd w:val="clear" w:color="auto" w:fill="auto"/>
          </w:tcPr>
          <w:p w14:paraId="3B466230" w14:textId="77777777" w:rsidR="008120AD" w:rsidRDefault="008120AD" w:rsidP="0049479F">
            <w:r>
              <w:t>Pay Pal Fees</w:t>
            </w:r>
          </w:p>
        </w:tc>
        <w:tc>
          <w:tcPr>
            <w:tcW w:w="1927" w:type="dxa"/>
          </w:tcPr>
          <w:p w14:paraId="16319BEA" w14:textId="77777777" w:rsidR="008120AD" w:rsidRDefault="008120AD" w:rsidP="0049479F">
            <w:pPr>
              <w:jc w:val="right"/>
            </w:pPr>
            <w:r>
              <w:t>25</w:t>
            </w:r>
          </w:p>
        </w:tc>
        <w:tc>
          <w:tcPr>
            <w:tcW w:w="1927" w:type="dxa"/>
          </w:tcPr>
          <w:p w14:paraId="08372505" w14:textId="77777777" w:rsidR="008120AD" w:rsidRDefault="008120AD" w:rsidP="0049479F">
            <w:pPr>
              <w:jc w:val="right"/>
            </w:pPr>
            <w:r>
              <w:t>21.99</w:t>
            </w:r>
          </w:p>
        </w:tc>
        <w:tc>
          <w:tcPr>
            <w:tcW w:w="1927" w:type="dxa"/>
          </w:tcPr>
          <w:p w14:paraId="4693EF75" w14:textId="77777777" w:rsidR="008120AD" w:rsidRDefault="008120AD" w:rsidP="0049479F">
            <w:pPr>
              <w:jc w:val="right"/>
            </w:pPr>
            <w:r>
              <w:t>30</w:t>
            </w:r>
          </w:p>
        </w:tc>
      </w:tr>
      <w:tr w:rsidR="008120AD" w14:paraId="3BCC1A96" w14:textId="77777777" w:rsidTr="0049479F">
        <w:tc>
          <w:tcPr>
            <w:tcW w:w="2591" w:type="dxa"/>
            <w:shd w:val="clear" w:color="auto" w:fill="auto"/>
          </w:tcPr>
          <w:p w14:paraId="696ECC78" w14:textId="77777777" w:rsidR="008120AD" w:rsidRDefault="008120AD" w:rsidP="0049479F">
            <w:r>
              <w:t>Promotion/Advertising</w:t>
            </w:r>
          </w:p>
        </w:tc>
        <w:tc>
          <w:tcPr>
            <w:tcW w:w="1927" w:type="dxa"/>
          </w:tcPr>
          <w:p w14:paraId="5AA6F747" w14:textId="77777777" w:rsidR="008120AD" w:rsidRDefault="008120AD" w:rsidP="0049479F">
            <w:pPr>
              <w:jc w:val="right"/>
            </w:pPr>
            <w:r>
              <w:t>100</w:t>
            </w:r>
          </w:p>
        </w:tc>
        <w:tc>
          <w:tcPr>
            <w:tcW w:w="1927" w:type="dxa"/>
          </w:tcPr>
          <w:p w14:paraId="526936E8" w14:textId="77777777" w:rsidR="008120AD" w:rsidRDefault="008120AD" w:rsidP="0049479F">
            <w:pPr>
              <w:jc w:val="right"/>
            </w:pPr>
            <w:r>
              <w:t>0</w:t>
            </w:r>
          </w:p>
        </w:tc>
        <w:tc>
          <w:tcPr>
            <w:tcW w:w="1927" w:type="dxa"/>
          </w:tcPr>
          <w:p w14:paraId="296C5380" w14:textId="77777777" w:rsidR="008120AD" w:rsidRDefault="008120AD" w:rsidP="0049479F">
            <w:pPr>
              <w:jc w:val="right"/>
            </w:pPr>
            <w:r>
              <w:t>0</w:t>
            </w:r>
          </w:p>
        </w:tc>
      </w:tr>
      <w:tr w:rsidR="008120AD" w14:paraId="19A34777" w14:textId="77777777" w:rsidTr="0049479F">
        <w:tc>
          <w:tcPr>
            <w:tcW w:w="2591" w:type="dxa"/>
            <w:shd w:val="clear" w:color="auto" w:fill="auto"/>
          </w:tcPr>
          <w:p w14:paraId="2024B21A" w14:textId="77777777" w:rsidR="008120AD" w:rsidRDefault="008120AD" w:rsidP="0049479F">
            <w:r>
              <w:t>Web</w:t>
            </w:r>
          </w:p>
        </w:tc>
        <w:tc>
          <w:tcPr>
            <w:tcW w:w="1927" w:type="dxa"/>
          </w:tcPr>
          <w:p w14:paraId="3AD15F78" w14:textId="77777777" w:rsidR="008120AD" w:rsidRDefault="008120AD" w:rsidP="0049479F">
            <w:pPr>
              <w:jc w:val="right"/>
            </w:pPr>
            <w:r>
              <w:t>750</w:t>
            </w:r>
            <w:r>
              <w:rPr>
                <w:rStyle w:val="FootnoteReference"/>
              </w:rPr>
              <w:footnoteReference w:id="5"/>
            </w:r>
          </w:p>
        </w:tc>
        <w:tc>
          <w:tcPr>
            <w:tcW w:w="1927" w:type="dxa"/>
          </w:tcPr>
          <w:p w14:paraId="0D485823" w14:textId="77777777" w:rsidR="008120AD" w:rsidRDefault="008120AD" w:rsidP="0049479F">
            <w:pPr>
              <w:jc w:val="right"/>
            </w:pPr>
            <w:r>
              <w:t>150.44</w:t>
            </w:r>
          </w:p>
        </w:tc>
        <w:tc>
          <w:tcPr>
            <w:tcW w:w="1927" w:type="dxa"/>
          </w:tcPr>
          <w:p w14:paraId="2B69EC84" w14:textId="77777777" w:rsidR="008120AD" w:rsidRDefault="008120AD" w:rsidP="0049479F">
            <w:pPr>
              <w:jc w:val="right"/>
            </w:pPr>
            <w:r>
              <w:t>200</w:t>
            </w:r>
          </w:p>
        </w:tc>
      </w:tr>
      <w:tr w:rsidR="008120AD" w14:paraId="166AFBE6" w14:textId="77777777" w:rsidTr="0049479F">
        <w:tc>
          <w:tcPr>
            <w:tcW w:w="2591" w:type="dxa"/>
            <w:shd w:val="clear" w:color="auto" w:fill="auto"/>
          </w:tcPr>
          <w:p w14:paraId="27F96CF5" w14:textId="77777777" w:rsidR="008120AD" w:rsidRDefault="008120AD" w:rsidP="0049479F">
            <w:r>
              <w:t>Misc.</w:t>
            </w:r>
          </w:p>
        </w:tc>
        <w:tc>
          <w:tcPr>
            <w:tcW w:w="1927" w:type="dxa"/>
          </w:tcPr>
          <w:p w14:paraId="26D5CCD8" w14:textId="77777777" w:rsidR="008120AD" w:rsidRDefault="008120AD" w:rsidP="0049479F">
            <w:pPr>
              <w:jc w:val="right"/>
            </w:pPr>
            <w:r>
              <w:t>0</w:t>
            </w:r>
          </w:p>
        </w:tc>
        <w:tc>
          <w:tcPr>
            <w:tcW w:w="1927" w:type="dxa"/>
          </w:tcPr>
          <w:p w14:paraId="73204C23" w14:textId="77777777" w:rsidR="008120AD" w:rsidRDefault="008120AD" w:rsidP="0049479F">
            <w:pPr>
              <w:jc w:val="right"/>
            </w:pPr>
            <w:r>
              <w:t>0</w:t>
            </w:r>
          </w:p>
        </w:tc>
        <w:tc>
          <w:tcPr>
            <w:tcW w:w="1927" w:type="dxa"/>
          </w:tcPr>
          <w:p w14:paraId="3915DA78" w14:textId="77777777" w:rsidR="008120AD" w:rsidRDefault="008120AD" w:rsidP="0049479F">
            <w:pPr>
              <w:jc w:val="right"/>
            </w:pPr>
            <w:r>
              <w:t>0</w:t>
            </w:r>
          </w:p>
        </w:tc>
      </w:tr>
      <w:tr w:rsidR="008120AD" w14:paraId="66D51B2C" w14:textId="77777777" w:rsidTr="0049479F">
        <w:tc>
          <w:tcPr>
            <w:tcW w:w="2591" w:type="dxa"/>
            <w:shd w:val="clear" w:color="auto" w:fill="auto"/>
          </w:tcPr>
          <w:p w14:paraId="214E52EA" w14:textId="77777777" w:rsidR="008120AD" w:rsidRPr="006676C4" w:rsidRDefault="008120AD" w:rsidP="0049479F">
            <w:pPr>
              <w:rPr>
                <w:b/>
              </w:rPr>
            </w:pPr>
            <w:r w:rsidRPr="006676C4">
              <w:rPr>
                <w:b/>
              </w:rPr>
              <w:t>TOTAL</w:t>
            </w:r>
          </w:p>
        </w:tc>
        <w:tc>
          <w:tcPr>
            <w:tcW w:w="1927" w:type="dxa"/>
          </w:tcPr>
          <w:p w14:paraId="54CFA2DD" w14:textId="77777777" w:rsidR="008120AD" w:rsidRPr="0075673A" w:rsidRDefault="008120AD" w:rsidP="0049479F">
            <w:pPr>
              <w:jc w:val="right"/>
              <w:rPr>
                <w:b/>
              </w:rPr>
            </w:pPr>
            <w:r>
              <w:rPr>
                <w:b/>
              </w:rPr>
              <w:t>2125</w:t>
            </w:r>
          </w:p>
        </w:tc>
        <w:tc>
          <w:tcPr>
            <w:tcW w:w="1927" w:type="dxa"/>
          </w:tcPr>
          <w:p w14:paraId="3CA7D98B" w14:textId="77777777" w:rsidR="008120AD" w:rsidRPr="0075673A" w:rsidRDefault="008120AD" w:rsidP="0049479F">
            <w:pPr>
              <w:jc w:val="right"/>
              <w:rPr>
                <w:b/>
              </w:rPr>
            </w:pPr>
            <w:r>
              <w:rPr>
                <w:b/>
              </w:rPr>
              <w:fldChar w:fldCharType="begin"/>
            </w:r>
            <w:r>
              <w:rPr>
                <w:b/>
              </w:rPr>
              <w:instrText xml:space="preserve"> =SUM(ABOVE) </w:instrText>
            </w:r>
            <w:r>
              <w:rPr>
                <w:b/>
              </w:rPr>
              <w:fldChar w:fldCharType="separate"/>
            </w:r>
            <w:r>
              <w:rPr>
                <w:b/>
                <w:noProof/>
              </w:rPr>
              <w:t>465.59</w:t>
            </w:r>
            <w:r>
              <w:rPr>
                <w:b/>
              </w:rPr>
              <w:fldChar w:fldCharType="end"/>
            </w:r>
          </w:p>
        </w:tc>
        <w:tc>
          <w:tcPr>
            <w:tcW w:w="1927" w:type="dxa"/>
          </w:tcPr>
          <w:p w14:paraId="0E517A7F" w14:textId="77777777" w:rsidR="008120AD" w:rsidRPr="0075673A" w:rsidRDefault="008120AD" w:rsidP="0049479F">
            <w:pPr>
              <w:jc w:val="right"/>
              <w:rPr>
                <w:b/>
              </w:rPr>
            </w:pPr>
            <w:r>
              <w:rPr>
                <w:b/>
              </w:rPr>
              <w:fldChar w:fldCharType="begin"/>
            </w:r>
            <w:r>
              <w:rPr>
                <w:b/>
              </w:rPr>
              <w:instrText xml:space="preserve"> =SUM(ABOVE) </w:instrText>
            </w:r>
            <w:r>
              <w:rPr>
                <w:b/>
              </w:rPr>
              <w:fldChar w:fldCharType="separate"/>
            </w:r>
            <w:r>
              <w:rPr>
                <w:b/>
                <w:noProof/>
              </w:rPr>
              <w:t>660</w:t>
            </w:r>
            <w:r>
              <w:rPr>
                <w:b/>
              </w:rPr>
              <w:fldChar w:fldCharType="end"/>
            </w:r>
          </w:p>
        </w:tc>
      </w:tr>
      <w:tr w:rsidR="008120AD" w14:paraId="549C296B" w14:textId="77777777" w:rsidTr="0049479F">
        <w:tc>
          <w:tcPr>
            <w:tcW w:w="2591" w:type="dxa"/>
            <w:shd w:val="clear" w:color="auto" w:fill="auto"/>
          </w:tcPr>
          <w:p w14:paraId="18805A4D" w14:textId="77777777" w:rsidR="008120AD" w:rsidRDefault="008120AD" w:rsidP="0049479F">
            <w:r>
              <w:t>Less Income</w:t>
            </w:r>
          </w:p>
        </w:tc>
        <w:tc>
          <w:tcPr>
            <w:tcW w:w="1927" w:type="dxa"/>
          </w:tcPr>
          <w:p w14:paraId="0F15045B" w14:textId="77777777" w:rsidR="008120AD" w:rsidRPr="005006D4" w:rsidRDefault="008120AD" w:rsidP="0049479F">
            <w:pPr>
              <w:jc w:val="right"/>
            </w:pPr>
            <w:r>
              <w:t>3561</w:t>
            </w:r>
          </w:p>
        </w:tc>
        <w:tc>
          <w:tcPr>
            <w:tcW w:w="1927" w:type="dxa"/>
          </w:tcPr>
          <w:p w14:paraId="3454DC5E" w14:textId="77777777" w:rsidR="008120AD" w:rsidRPr="005006D4" w:rsidRDefault="008120AD" w:rsidP="0049479F">
            <w:pPr>
              <w:jc w:val="right"/>
            </w:pPr>
            <w:r>
              <w:t>3,998.43</w:t>
            </w:r>
          </w:p>
        </w:tc>
        <w:tc>
          <w:tcPr>
            <w:tcW w:w="1927" w:type="dxa"/>
          </w:tcPr>
          <w:p w14:paraId="3696DCAA" w14:textId="77777777" w:rsidR="008120AD" w:rsidRPr="005006D4" w:rsidRDefault="008120AD" w:rsidP="0049479F">
            <w:pPr>
              <w:jc w:val="right"/>
            </w:pPr>
            <w:r>
              <w:t>660</w:t>
            </w:r>
          </w:p>
        </w:tc>
      </w:tr>
      <w:tr w:rsidR="008120AD" w14:paraId="4D77D558" w14:textId="77777777" w:rsidTr="0049479F">
        <w:tc>
          <w:tcPr>
            <w:tcW w:w="2591" w:type="dxa"/>
            <w:shd w:val="clear" w:color="auto" w:fill="auto"/>
          </w:tcPr>
          <w:p w14:paraId="05EDC88A" w14:textId="77777777" w:rsidR="008120AD" w:rsidRDefault="008120AD" w:rsidP="0049479F">
            <w:r>
              <w:t>Balance</w:t>
            </w:r>
          </w:p>
        </w:tc>
        <w:tc>
          <w:tcPr>
            <w:tcW w:w="1927" w:type="dxa"/>
          </w:tcPr>
          <w:p w14:paraId="0E33015F" w14:textId="77777777" w:rsidR="008120AD" w:rsidRDefault="008120AD" w:rsidP="0049479F">
            <w:pPr>
              <w:jc w:val="right"/>
            </w:pPr>
            <w:r>
              <w:t>1436</w:t>
            </w:r>
          </w:p>
        </w:tc>
        <w:tc>
          <w:tcPr>
            <w:tcW w:w="1927" w:type="dxa"/>
          </w:tcPr>
          <w:p w14:paraId="55C84592" w14:textId="77777777" w:rsidR="008120AD" w:rsidRDefault="008120AD" w:rsidP="0049479F">
            <w:pPr>
              <w:jc w:val="right"/>
            </w:pPr>
            <w:r>
              <w:t>3.532.84</w:t>
            </w:r>
          </w:p>
        </w:tc>
        <w:tc>
          <w:tcPr>
            <w:tcW w:w="1927" w:type="dxa"/>
          </w:tcPr>
          <w:p w14:paraId="7F21C462" w14:textId="77777777" w:rsidR="008120AD" w:rsidRDefault="008120AD" w:rsidP="0049479F">
            <w:pPr>
              <w:jc w:val="right"/>
            </w:pPr>
            <w:r>
              <w:t>0</w:t>
            </w:r>
          </w:p>
        </w:tc>
      </w:tr>
    </w:tbl>
    <w:p w14:paraId="0940609F" w14:textId="77777777" w:rsidR="008120AD" w:rsidRDefault="008120AD" w:rsidP="008120AD">
      <w:r>
        <w:t>Assets: Table, Megaphone, Snowball mike, Gazebo, Gazebo cart.</w:t>
      </w:r>
    </w:p>
    <w:p w14:paraId="05C76A77" w14:textId="77777777" w:rsidR="008120AD" w:rsidRDefault="008120AD" w:rsidP="008120AD">
      <w:r>
        <w:lastRenderedPageBreak/>
        <w:t>John Wilson, Treasurer</w:t>
      </w:r>
    </w:p>
    <w:p w14:paraId="4E4BFB45" w14:textId="77777777" w:rsidR="008120AD" w:rsidRPr="000625BA" w:rsidRDefault="008120AD" w:rsidP="008120AD">
      <w:pPr>
        <w:pStyle w:val="NoSpacing"/>
        <w:rPr>
          <w:color w:val="000000"/>
        </w:rPr>
      </w:pPr>
      <w:r>
        <w:br w:type="page"/>
      </w:r>
      <w:r w:rsidRPr="000625BA">
        <w:rPr>
          <w:color w:val="000000"/>
        </w:rPr>
        <w:lastRenderedPageBreak/>
        <w:t>FINANCIAL REPORT – AGM 201</w:t>
      </w:r>
      <w:r>
        <w:rPr>
          <w:color w:val="000000"/>
        </w:rPr>
        <w:t>5</w:t>
      </w:r>
      <w:r w:rsidRPr="000625BA">
        <w:rPr>
          <w:color w:val="000000"/>
        </w:rPr>
        <w:t>/201</w:t>
      </w:r>
      <w:r>
        <w:rPr>
          <w:color w:val="000000"/>
        </w:rPr>
        <w:t>6</w:t>
      </w:r>
    </w:p>
    <w:p w14:paraId="53F36E11" w14:textId="77777777" w:rsidR="008120AD" w:rsidRPr="000625BA" w:rsidRDefault="008120AD" w:rsidP="008120AD">
      <w:pPr>
        <w:pStyle w:val="NoSpacing"/>
        <w:rPr>
          <w:color w:val="000000"/>
        </w:rPr>
      </w:pPr>
    </w:p>
    <w:p w14:paraId="3CD26083"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We have maintained three financial accounts during the past year:</w:t>
      </w:r>
    </w:p>
    <w:p w14:paraId="6DCD4F5D" w14:textId="77777777" w:rsidR="008120AD" w:rsidRPr="000625BA" w:rsidRDefault="008120AD" w:rsidP="008120AD">
      <w:pPr>
        <w:pStyle w:val="NoSpacing"/>
        <w:numPr>
          <w:ilvl w:val="1"/>
          <w:numId w:val="1"/>
        </w:numPr>
        <w:rPr>
          <w:color w:val="000000"/>
          <w:sz w:val="28"/>
          <w:szCs w:val="28"/>
        </w:rPr>
      </w:pPr>
      <w:r w:rsidRPr="000625BA">
        <w:rPr>
          <w:color w:val="000000"/>
          <w:sz w:val="28"/>
          <w:szCs w:val="28"/>
        </w:rPr>
        <w:t>A Chequing Account at Alterna Savings where our day to day transactions take place.</w:t>
      </w:r>
    </w:p>
    <w:p w14:paraId="786A9173" w14:textId="77777777" w:rsidR="008120AD" w:rsidRPr="000625BA" w:rsidRDefault="008120AD" w:rsidP="008120AD">
      <w:pPr>
        <w:pStyle w:val="NoSpacing"/>
        <w:numPr>
          <w:ilvl w:val="1"/>
          <w:numId w:val="1"/>
        </w:numPr>
        <w:rPr>
          <w:color w:val="000000"/>
          <w:sz w:val="28"/>
          <w:szCs w:val="28"/>
        </w:rPr>
      </w:pPr>
      <w:r w:rsidRPr="000625BA">
        <w:rPr>
          <w:color w:val="000000"/>
          <w:sz w:val="28"/>
          <w:szCs w:val="28"/>
        </w:rPr>
        <w:t>A Savings Account at Alterna Savings which is specifically earmarked for the Gay Straight Alliance (GSA) Defense Fund.</w:t>
      </w:r>
    </w:p>
    <w:p w14:paraId="2B5AF3EC" w14:textId="77777777" w:rsidR="008120AD" w:rsidRPr="000625BA" w:rsidRDefault="008120AD" w:rsidP="008120AD">
      <w:pPr>
        <w:pStyle w:val="NoSpacing"/>
        <w:numPr>
          <w:ilvl w:val="1"/>
          <w:numId w:val="1"/>
        </w:numPr>
        <w:rPr>
          <w:color w:val="000000"/>
          <w:sz w:val="28"/>
          <w:szCs w:val="28"/>
        </w:rPr>
      </w:pPr>
      <w:r w:rsidRPr="000625BA">
        <w:rPr>
          <w:color w:val="000000"/>
          <w:sz w:val="28"/>
          <w:szCs w:val="28"/>
        </w:rPr>
        <w:t>A Pay Pal Account where we receive our monthly and other electronic donations and from which some of our electronic payments are made e.g., website internet payments.</w:t>
      </w:r>
    </w:p>
    <w:p w14:paraId="5B4C640C" w14:textId="77777777" w:rsidR="008120AD" w:rsidRPr="000625BA" w:rsidRDefault="008120AD" w:rsidP="008120AD">
      <w:pPr>
        <w:pStyle w:val="NoSpacing"/>
        <w:rPr>
          <w:color w:val="000000"/>
          <w:sz w:val="28"/>
          <w:szCs w:val="28"/>
        </w:rPr>
      </w:pPr>
    </w:p>
    <w:p w14:paraId="1CA70CDC"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Spreadsheets were kept for the fiscal year from April 1</w:t>
      </w:r>
      <w:r w:rsidRPr="000625BA">
        <w:rPr>
          <w:color w:val="000000"/>
          <w:sz w:val="28"/>
          <w:szCs w:val="28"/>
          <w:vertAlign w:val="superscript"/>
        </w:rPr>
        <w:t>st</w:t>
      </w:r>
      <w:r w:rsidRPr="000625BA">
        <w:rPr>
          <w:color w:val="000000"/>
          <w:sz w:val="28"/>
          <w:szCs w:val="28"/>
        </w:rPr>
        <w:t xml:space="preserve"> to March 31</w:t>
      </w:r>
      <w:r w:rsidRPr="000625BA">
        <w:rPr>
          <w:color w:val="000000"/>
          <w:sz w:val="28"/>
          <w:szCs w:val="28"/>
          <w:vertAlign w:val="superscript"/>
        </w:rPr>
        <w:t>st</w:t>
      </w:r>
      <w:r w:rsidRPr="000625BA">
        <w:rPr>
          <w:color w:val="000000"/>
          <w:sz w:val="28"/>
          <w:szCs w:val="28"/>
        </w:rPr>
        <w:t>.</w:t>
      </w:r>
    </w:p>
    <w:p w14:paraId="4FA507FF" w14:textId="77777777" w:rsidR="008120AD" w:rsidRPr="000625BA" w:rsidRDefault="008120AD" w:rsidP="008120AD">
      <w:pPr>
        <w:pStyle w:val="NoSpacing"/>
        <w:rPr>
          <w:color w:val="000000"/>
          <w:sz w:val="28"/>
          <w:szCs w:val="28"/>
        </w:rPr>
      </w:pPr>
    </w:p>
    <w:p w14:paraId="0930A4B2"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Detailed spreadsheets are available for anyone who wants to look at them.</w:t>
      </w:r>
    </w:p>
    <w:p w14:paraId="2A2AF916" w14:textId="77777777" w:rsidR="008120AD" w:rsidRPr="000625BA" w:rsidRDefault="008120AD" w:rsidP="008120AD">
      <w:pPr>
        <w:pStyle w:val="NoSpacing"/>
        <w:rPr>
          <w:color w:val="000000"/>
          <w:sz w:val="28"/>
          <w:szCs w:val="28"/>
        </w:rPr>
      </w:pPr>
    </w:p>
    <w:p w14:paraId="4DA29237"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The Budget reflects only the budget for the previous year, actual income and expenses for the previous year, and the budget for the New Year.</w:t>
      </w:r>
    </w:p>
    <w:p w14:paraId="70D01DEC" w14:textId="77777777" w:rsidR="008120AD" w:rsidRPr="000625BA" w:rsidRDefault="008120AD" w:rsidP="008120AD">
      <w:pPr>
        <w:pStyle w:val="NoSpacing"/>
        <w:rPr>
          <w:color w:val="000000"/>
          <w:sz w:val="28"/>
          <w:szCs w:val="28"/>
        </w:rPr>
      </w:pPr>
    </w:p>
    <w:p w14:paraId="7B18CDAF" w14:textId="77777777" w:rsidR="008120AD" w:rsidRPr="000625BA" w:rsidRDefault="008120AD" w:rsidP="008120AD">
      <w:pPr>
        <w:pStyle w:val="NoSpacing"/>
        <w:numPr>
          <w:ilvl w:val="0"/>
          <w:numId w:val="1"/>
        </w:numPr>
        <w:rPr>
          <w:color w:val="000000"/>
        </w:rPr>
      </w:pPr>
      <w:r w:rsidRPr="000625BA">
        <w:rPr>
          <w:color w:val="000000"/>
          <w:sz w:val="28"/>
          <w:szCs w:val="28"/>
        </w:rPr>
        <w:t>I would also remind members that the Queer Liberation Theory Project, in which Queer Ontario is a community-based partner on this academic research study, has been financed primarily by four internal research grants from York University for a total amount of $10,380.00 and those funds did not go through the Queer Ontario books. The QLT Project received an additional $2</w:t>
      </w:r>
      <w:r>
        <w:rPr>
          <w:color w:val="000000"/>
          <w:sz w:val="28"/>
          <w:szCs w:val="28"/>
        </w:rPr>
        <w:t xml:space="preserve">,000.00 from the Inside Out/OUTtv </w:t>
      </w:r>
      <w:r w:rsidRPr="000625BA">
        <w:rPr>
          <w:color w:val="000000"/>
          <w:sz w:val="28"/>
          <w:szCs w:val="28"/>
        </w:rPr>
        <w:t>Post-Production Fund but was issued directly to the QLT Project's principal investigator.</w:t>
      </w:r>
    </w:p>
    <w:p w14:paraId="0197A299" w14:textId="77777777" w:rsidR="008120AD" w:rsidRPr="000625BA" w:rsidRDefault="008120AD" w:rsidP="008120AD">
      <w:pPr>
        <w:pStyle w:val="NoSpacing"/>
        <w:rPr>
          <w:color w:val="000000"/>
          <w:sz w:val="28"/>
          <w:szCs w:val="28"/>
        </w:rPr>
      </w:pPr>
    </w:p>
    <w:p w14:paraId="314569FA"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In terms of t</w:t>
      </w:r>
      <w:r>
        <w:rPr>
          <w:color w:val="000000"/>
          <w:sz w:val="28"/>
          <w:szCs w:val="28"/>
        </w:rPr>
        <w:t>he Annual Review of the Books, it was</w:t>
      </w:r>
      <w:r w:rsidRPr="000625BA">
        <w:rPr>
          <w:color w:val="000000"/>
          <w:sz w:val="28"/>
          <w:szCs w:val="28"/>
        </w:rPr>
        <w:t xml:space="preserve"> suggested last year that we not incur the expense of auditors at this time and simply ask a volunteer from the membership, who has not been involved with the bookkeeping, to review the books at the fiscal year end.</w:t>
      </w:r>
    </w:p>
    <w:p w14:paraId="4EFF5D9C" w14:textId="77777777" w:rsidR="008120AD" w:rsidRPr="000625BA" w:rsidRDefault="008120AD" w:rsidP="008120AD">
      <w:pPr>
        <w:pStyle w:val="NoSpacing"/>
        <w:rPr>
          <w:color w:val="000000"/>
          <w:sz w:val="28"/>
          <w:szCs w:val="28"/>
        </w:rPr>
      </w:pPr>
    </w:p>
    <w:p w14:paraId="35B6FB15"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I suggest that we repeat that procedure again this year.</w:t>
      </w:r>
    </w:p>
    <w:p w14:paraId="47CB28D9" w14:textId="77777777" w:rsidR="008120AD" w:rsidRPr="000625BA" w:rsidRDefault="008120AD" w:rsidP="008120AD">
      <w:pPr>
        <w:pStyle w:val="NoSpacing"/>
        <w:rPr>
          <w:color w:val="000000"/>
          <w:sz w:val="28"/>
          <w:szCs w:val="28"/>
        </w:rPr>
      </w:pPr>
    </w:p>
    <w:p w14:paraId="57EAECF7"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 xml:space="preserve">This involved looking at the books for any discrepancies or clarifications and randomly selecting several income and disbursement entries to see if the receipts and match up with the entries. </w:t>
      </w:r>
    </w:p>
    <w:p w14:paraId="6A919B4A" w14:textId="77777777" w:rsidR="008120AD" w:rsidRPr="000625BA" w:rsidRDefault="008120AD" w:rsidP="008120AD">
      <w:pPr>
        <w:pStyle w:val="NoSpacing"/>
        <w:rPr>
          <w:color w:val="000000"/>
          <w:sz w:val="28"/>
          <w:szCs w:val="28"/>
        </w:rPr>
      </w:pPr>
    </w:p>
    <w:p w14:paraId="6EFF64BC"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t xml:space="preserve">I wish to thank </w:t>
      </w:r>
      <w:r>
        <w:rPr>
          <w:color w:val="000000"/>
          <w:sz w:val="28"/>
          <w:szCs w:val="28"/>
        </w:rPr>
        <w:t>Dwayne Shaw</w:t>
      </w:r>
      <w:r w:rsidRPr="000625BA">
        <w:rPr>
          <w:color w:val="000000"/>
          <w:sz w:val="28"/>
          <w:szCs w:val="28"/>
        </w:rPr>
        <w:t xml:space="preserve"> for volunteering to provide this service and who submitted the following report:</w:t>
      </w:r>
    </w:p>
    <w:p w14:paraId="56C86DFE" w14:textId="77777777" w:rsidR="008120AD" w:rsidRPr="000625BA" w:rsidRDefault="008120AD" w:rsidP="008120AD">
      <w:pPr>
        <w:pStyle w:val="ListParagraph"/>
        <w:rPr>
          <w:color w:val="000000"/>
          <w:sz w:val="28"/>
          <w:szCs w:val="28"/>
          <w:lang w:val="en-US"/>
        </w:rPr>
      </w:pPr>
    </w:p>
    <w:p w14:paraId="6230801D" w14:textId="77777777" w:rsidR="008120AD" w:rsidRPr="000625BA" w:rsidRDefault="008120AD" w:rsidP="008120AD">
      <w:pPr>
        <w:pStyle w:val="NoSpacing"/>
        <w:numPr>
          <w:ilvl w:val="0"/>
          <w:numId w:val="1"/>
        </w:numPr>
        <w:rPr>
          <w:color w:val="000000"/>
          <w:sz w:val="28"/>
          <w:szCs w:val="28"/>
        </w:rPr>
      </w:pPr>
      <w:r w:rsidRPr="000625BA">
        <w:rPr>
          <w:color w:val="000000"/>
          <w:sz w:val="28"/>
          <w:szCs w:val="28"/>
        </w:rPr>
        <w:lastRenderedPageBreak/>
        <w:t xml:space="preserve"> Budget:</w:t>
      </w:r>
      <w:r w:rsidRPr="000625BA">
        <w:rPr>
          <w:color w:val="000000"/>
        </w:rPr>
        <w:t xml:space="preserve"> </w:t>
      </w:r>
    </w:p>
    <w:p w14:paraId="79AFC660" w14:textId="77777777" w:rsidR="008120AD" w:rsidRPr="009718E2" w:rsidRDefault="008120AD" w:rsidP="008120AD">
      <w:pPr>
        <w:pStyle w:val="NoSpacing"/>
        <w:jc w:val="center"/>
        <w:rPr>
          <w:rFonts w:ascii="Calibri" w:eastAsia="Calibri" w:hAnsi="Calibri"/>
        </w:rPr>
      </w:pPr>
      <w:r w:rsidRPr="000625BA">
        <w:rPr>
          <w:color w:val="000000"/>
        </w:rPr>
        <w:br w:type="page"/>
      </w:r>
      <w:r w:rsidRPr="009718E2">
        <w:rPr>
          <w:rFonts w:ascii="Calibri" w:eastAsia="Calibri" w:hAnsi="Calibri"/>
        </w:rPr>
        <w:lastRenderedPageBreak/>
        <w:t>ANNUAL REVIEW OF QUEER ONTARIO</w:t>
      </w:r>
    </w:p>
    <w:p w14:paraId="675A5C04" w14:textId="77777777" w:rsidR="008120AD" w:rsidRPr="009718E2" w:rsidRDefault="008120AD" w:rsidP="008120AD">
      <w:pPr>
        <w:jc w:val="center"/>
        <w:rPr>
          <w:rFonts w:ascii="Calibri" w:eastAsia="Calibri" w:hAnsi="Calibri"/>
          <w:sz w:val="22"/>
          <w:szCs w:val="22"/>
        </w:rPr>
      </w:pPr>
      <w:r w:rsidRPr="009718E2">
        <w:rPr>
          <w:rFonts w:ascii="Calibri" w:eastAsia="Calibri" w:hAnsi="Calibri"/>
          <w:sz w:val="22"/>
          <w:szCs w:val="22"/>
        </w:rPr>
        <w:t>FINANCIAL RECORDS</w:t>
      </w:r>
    </w:p>
    <w:p w14:paraId="1088EB22" w14:textId="77777777" w:rsidR="008120AD" w:rsidRPr="009718E2" w:rsidRDefault="008120AD" w:rsidP="008120AD">
      <w:pPr>
        <w:jc w:val="center"/>
        <w:rPr>
          <w:rFonts w:ascii="Calibri" w:eastAsia="Calibri" w:hAnsi="Calibri"/>
          <w:sz w:val="22"/>
          <w:szCs w:val="22"/>
        </w:rPr>
      </w:pPr>
      <w:r>
        <w:rPr>
          <w:rFonts w:ascii="Calibri" w:eastAsia="Calibri" w:hAnsi="Calibri"/>
          <w:sz w:val="22"/>
          <w:szCs w:val="22"/>
        </w:rPr>
        <w:t>2015/2016</w:t>
      </w:r>
      <w:r w:rsidRPr="009718E2">
        <w:rPr>
          <w:rFonts w:ascii="Calibri" w:eastAsia="Calibri" w:hAnsi="Calibri"/>
          <w:sz w:val="22"/>
          <w:szCs w:val="22"/>
        </w:rPr>
        <w:t xml:space="preserve"> Fiscal Year</w:t>
      </w:r>
    </w:p>
    <w:p w14:paraId="6FB13D7B" w14:textId="77777777" w:rsidR="008120AD" w:rsidRPr="009718E2" w:rsidRDefault="008120AD" w:rsidP="008120AD">
      <w:pPr>
        <w:rPr>
          <w:rFonts w:ascii="Calibri" w:eastAsia="Calibri" w:hAnsi="Calibri"/>
          <w:sz w:val="22"/>
          <w:szCs w:val="22"/>
        </w:rPr>
      </w:pPr>
    </w:p>
    <w:p w14:paraId="7D90987B" w14:textId="77777777" w:rsidR="008120AD" w:rsidRPr="009718E2" w:rsidRDefault="008120AD" w:rsidP="008120AD">
      <w:pPr>
        <w:rPr>
          <w:rFonts w:ascii="Calibri" w:eastAsia="Calibri" w:hAnsi="Calibri"/>
          <w:sz w:val="22"/>
          <w:szCs w:val="22"/>
        </w:rPr>
      </w:pPr>
      <w:r w:rsidRPr="009718E2">
        <w:rPr>
          <w:rFonts w:ascii="Calibri" w:eastAsia="Calibri" w:hAnsi="Calibri"/>
          <w:sz w:val="22"/>
          <w:szCs w:val="22"/>
        </w:rPr>
        <w:t xml:space="preserve">I have reviewed the financial records of Queer Ontario (QO) which comprise the spreadsheets, the bank statements, the receipts file, the donations file, the Pay Pal file, the GSA Defense Fund file and the draft Budget. </w:t>
      </w:r>
    </w:p>
    <w:p w14:paraId="2F36B02E" w14:textId="77777777" w:rsidR="008120AD" w:rsidRPr="009718E2" w:rsidRDefault="008120AD" w:rsidP="008120AD">
      <w:pPr>
        <w:rPr>
          <w:rFonts w:ascii="Calibri" w:eastAsia="Calibri" w:hAnsi="Calibri"/>
          <w:sz w:val="22"/>
          <w:szCs w:val="22"/>
        </w:rPr>
      </w:pPr>
    </w:p>
    <w:p w14:paraId="6011942C" w14:textId="77777777" w:rsidR="008120AD" w:rsidRPr="009718E2" w:rsidRDefault="008120AD" w:rsidP="008120AD">
      <w:pPr>
        <w:rPr>
          <w:rFonts w:ascii="Calibri" w:eastAsia="Calibri" w:hAnsi="Calibri"/>
          <w:sz w:val="22"/>
          <w:szCs w:val="22"/>
        </w:rPr>
      </w:pPr>
      <w:r w:rsidRPr="009718E2">
        <w:rPr>
          <w:rFonts w:ascii="Calibri" w:eastAsia="Calibri" w:hAnsi="Calibri"/>
          <w:sz w:val="22"/>
          <w:szCs w:val="22"/>
        </w:rPr>
        <w:t>These documents were provided by the Treasurer of Queer Ontario. I am a member of Queer Ontario and undertook this review as a volunteer who was not involved with the bookkeeping.</w:t>
      </w:r>
    </w:p>
    <w:p w14:paraId="1D6E566B" w14:textId="77777777" w:rsidR="008120AD" w:rsidRPr="009718E2" w:rsidRDefault="008120AD" w:rsidP="008120AD">
      <w:pPr>
        <w:rPr>
          <w:rFonts w:ascii="Calibri" w:eastAsia="Calibri" w:hAnsi="Calibri"/>
          <w:sz w:val="22"/>
          <w:szCs w:val="22"/>
        </w:rPr>
      </w:pPr>
    </w:p>
    <w:p w14:paraId="2CF61912" w14:textId="77777777" w:rsidR="008120AD" w:rsidRPr="009718E2" w:rsidRDefault="008120AD" w:rsidP="008120AD">
      <w:pPr>
        <w:rPr>
          <w:rFonts w:ascii="Calibri" w:eastAsia="Calibri" w:hAnsi="Calibri"/>
          <w:sz w:val="22"/>
          <w:szCs w:val="22"/>
        </w:rPr>
      </w:pPr>
      <w:r w:rsidRPr="009718E2">
        <w:rPr>
          <w:rFonts w:ascii="Calibri" w:eastAsia="Calibri" w:hAnsi="Calibri"/>
          <w:sz w:val="22"/>
          <w:szCs w:val="22"/>
        </w:rPr>
        <w:t>My review involved looking at the books for any discrepancies or clarifications and randomly selecting income and disbursement entries to see if the receipts and documents match up with the entries.</w:t>
      </w:r>
    </w:p>
    <w:p w14:paraId="782C84FA" w14:textId="77777777" w:rsidR="008120AD" w:rsidRPr="009718E2" w:rsidRDefault="008120AD" w:rsidP="008120AD">
      <w:pPr>
        <w:rPr>
          <w:rFonts w:ascii="Calibri" w:eastAsia="Calibri" w:hAnsi="Calibri"/>
          <w:sz w:val="22"/>
          <w:szCs w:val="22"/>
        </w:rPr>
      </w:pPr>
    </w:p>
    <w:p w14:paraId="5EF668EC" w14:textId="77777777" w:rsidR="008120AD" w:rsidRPr="009718E2" w:rsidRDefault="008120AD" w:rsidP="008120AD">
      <w:pPr>
        <w:rPr>
          <w:rFonts w:ascii="Calibri" w:eastAsia="Calibri" w:hAnsi="Calibri"/>
          <w:sz w:val="22"/>
          <w:szCs w:val="22"/>
        </w:rPr>
      </w:pPr>
      <w:r w:rsidRPr="009718E2">
        <w:rPr>
          <w:rFonts w:ascii="Calibri" w:eastAsia="Calibri" w:hAnsi="Calibri"/>
          <w:sz w:val="22"/>
          <w:szCs w:val="22"/>
        </w:rPr>
        <w:t>In my opinion, the financial records present fairly, in all material aspects, the financial position of Queer Ontario as at Marc</w:t>
      </w:r>
      <w:r>
        <w:rPr>
          <w:rFonts w:ascii="Calibri" w:eastAsia="Calibri" w:hAnsi="Calibri"/>
          <w:sz w:val="22"/>
          <w:szCs w:val="22"/>
        </w:rPr>
        <w:t>h 31, 2016</w:t>
      </w:r>
      <w:r w:rsidRPr="009718E2">
        <w:rPr>
          <w:rFonts w:ascii="Calibri" w:eastAsia="Calibri" w:hAnsi="Calibri"/>
          <w:sz w:val="22"/>
          <w:szCs w:val="22"/>
        </w:rPr>
        <w:t>.</w:t>
      </w:r>
    </w:p>
    <w:p w14:paraId="2E241A8D" w14:textId="77777777" w:rsidR="008120AD" w:rsidRPr="009718E2" w:rsidRDefault="008120AD" w:rsidP="008120AD">
      <w:pPr>
        <w:rPr>
          <w:rFonts w:ascii="Calibri" w:eastAsia="Calibri" w:hAnsi="Calibri"/>
          <w:sz w:val="22"/>
          <w:szCs w:val="22"/>
        </w:rPr>
      </w:pPr>
    </w:p>
    <w:p w14:paraId="3A1B4D84" w14:textId="77777777" w:rsidR="008120AD" w:rsidRPr="009718E2" w:rsidRDefault="008120AD" w:rsidP="008120AD">
      <w:pPr>
        <w:rPr>
          <w:rFonts w:ascii="Calibri" w:eastAsia="Calibri" w:hAnsi="Calibri"/>
          <w:sz w:val="22"/>
          <w:szCs w:val="22"/>
        </w:rPr>
      </w:pPr>
    </w:p>
    <w:p w14:paraId="4479A6EE" w14:textId="77777777" w:rsidR="008120AD" w:rsidRPr="009718E2" w:rsidRDefault="008120AD" w:rsidP="008120AD">
      <w:pPr>
        <w:rPr>
          <w:rFonts w:ascii="Calibri" w:eastAsia="Calibri" w:hAnsi="Calibri"/>
          <w:sz w:val="22"/>
          <w:szCs w:val="22"/>
        </w:rPr>
      </w:pPr>
    </w:p>
    <w:p w14:paraId="0A05DA79" w14:textId="77777777" w:rsidR="008120AD" w:rsidRDefault="008120AD" w:rsidP="008120AD">
      <w:pPr>
        <w:rPr>
          <w:rFonts w:ascii="Calibri" w:eastAsia="Calibri" w:hAnsi="Calibri"/>
          <w:sz w:val="22"/>
          <w:szCs w:val="22"/>
        </w:rPr>
      </w:pPr>
      <w:r>
        <w:rPr>
          <w:rFonts w:ascii="Calibri" w:eastAsia="Calibri" w:hAnsi="Calibri"/>
          <w:sz w:val="22"/>
          <w:szCs w:val="22"/>
        </w:rPr>
        <w:t>Dwayne Shaw</w:t>
      </w:r>
    </w:p>
    <w:p w14:paraId="1D9AF78D" w14:textId="77777777" w:rsidR="008120AD" w:rsidRDefault="008120AD" w:rsidP="008120AD">
      <w:pPr>
        <w:pStyle w:val="NoSpacing"/>
      </w:pPr>
    </w:p>
    <w:p w14:paraId="447C0EE3" w14:textId="77777777" w:rsidR="00B34134" w:rsidRPr="00B34134" w:rsidRDefault="00B34134" w:rsidP="005D3464">
      <w:bookmarkStart w:id="0" w:name="_GoBack"/>
      <w:bookmarkEnd w:id="0"/>
    </w:p>
    <w:sectPr w:rsidR="00B34134" w:rsidRPr="00B34134" w:rsidSect="0039331D">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6309" w14:textId="77777777" w:rsidR="008120AD" w:rsidRDefault="008120AD" w:rsidP="008120AD">
      <w:r>
        <w:separator/>
      </w:r>
    </w:p>
  </w:endnote>
  <w:endnote w:type="continuationSeparator" w:id="0">
    <w:p w14:paraId="16A7CB5E" w14:textId="77777777" w:rsidR="008120AD" w:rsidRDefault="008120AD" w:rsidP="0081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FAF9" w14:textId="77777777" w:rsidR="008120AD" w:rsidRDefault="008120AD" w:rsidP="008120AD">
      <w:r>
        <w:separator/>
      </w:r>
    </w:p>
  </w:footnote>
  <w:footnote w:type="continuationSeparator" w:id="0">
    <w:p w14:paraId="39CC835A" w14:textId="77777777" w:rsidR="008120AD" w:rsidRDefault="008120AD" w:rsidP="008120AD">
      <w:r>
        <w:continuationSeparator/>
      </w:r>
    </w:p>
  </w:footnote>
  <w:footnote w:id="1">
    <w:p w14:paraId="5D179A69" w14:textId="77777777" w:rsidR="008120AD" w:rsidRPr="002A31EB" w:rsidRDefault="008120AD" w:rsidP="008120AD">
      <w:pPr>
        <w:pStyle w:val="FootnoteText"/>
        <w:rPr>
          <w:lang w:val="en-US"/>
        </w:rPr>
      </w:pPr>
      <w:r>
        <w:rPr>
          <w:rStyle w:val="FootnoteReference"/>
        </w:rPr>
        <w:footnoteRef/>
      </w:r>
      <w:r>
        <w:t xml:space="preserve"> </w:t>
      </w:r>
      <w:r>
        <w:rPr>
          <w:lang w:val="en-US"/>
        </w:rPr>
        <w:t>These donations are earmarked for the GSA defense fund.</w:t>
      </w:r>
    </w:p>
  </w:footnote>
  <w:footnote w:id="2">
    <w:p w14:paraId="6D8BA534" w14:textId="77777777" w:rsidR="008120AD" w:rsidRPr="00F37EA7" w:rsidRDefault="008120AD" w:rsidP="008120AD">
      <w:pPr>
        <w:pStyle w:val="FootnoteText"/>
        <w:rPr>
          <w:lang w:val="en-US"/>
        </w:rPr>
      </w:pPr>
      <w:r>
        <w:rPr>
          <w:rStyle w:val="FootnoteReference"/>
        </w:rPr>
        <w:footnoteRef/>
      </w:r>
      <w:r>
        <w:t xml:space="preserve"> </w:t>
      </w:r>
      <w:r>
        <w:rPr>
          <w:lang w:val="en-US"/>
        </w:rPr>
        <w:t>Bequest – No bequest anticipated for 2016/17</w:t>
      </w:r>
    </w:p>
  </w:footnote>
  <w:footnote w:id="3">
    <w:p w14:paraId="214DADC9" w14:textId="77777777" w:rsidR="008120AD" w:rsidRPr="00F37EA7" w:rsidRDefault="008120AD" w:rsidP="008120AD">
      <w:pPr>
        <w:pStyle w:val="FootnoteText"/>
        <w:rPr>
          <w:lang w:val="en-US"/>
        </w:rPr>
      </w:pPr>
      <w:r>
        <w:rPr>
          <w:rStyle w:val="FootnoteReference"/>
        </w:rPr>
        <w:footnoteRef/>
      </w:r>
      <w:r>
        <w:t xml:space="preserve"> </w:t>
      </w:r>
      <w:r>
        <w:rPr>
          <w:lang w:val="en-US"/>
        </w:rPr>
        <w:t>Monthly donations</w:t>
      </w:r>
    </w:p>
  </w:footnote>
  <w:footnote w:id="4">
    <w:p w14:paraId="3C10AF18" w14:textId="77777777" w:rsidR="008120AD" w:rsidRPr="007642AB" w:rsidRDefault="008120AD" w:rsidP="008120AD">
      <w:pPr>
        <w:pStyle w:val="FootnoteText"/>
        <w:rPr>
          <w:lang w:val="en-US"/>
        </w:rPr>
      </w:pPr>
      <w:r>
        <w:rPr>
          <w:rStyle w:val="FootnoteReference"/>
        </w:rPr>
        <w:footnoteRef/>
      </w:r>
      <w:r>
        <w:t xml:space="preserve"> </w:t>
      </w:r>
      <w:r>
        <w:rPr>
          <w:lang w:val="en-US"/>
        </w:rPr>
        <w:t>200 regular for budget, 500 for the directory – We decided not to print the directory</w:t>
      </w:r>
    </w:p>
  </w:footnote>
  <w:footnote w:id="5">
    <w:p w14:paraId="6719F299" w14:textId="77777777" w:rsidR="008120AD" w:rsidRPr="007642AB" w:rsidRDefault="008120AD" w:rsidP="008120AD">
      <w:pPr>
        <w:pStyle w:val="FootnoteText"/>
        <w:rPr>
          <w:lang w:val="en-US"/>
        </w:rPr>
      </w:pPr>
      <w:r>
        <w:rPr>
          <w:rStyle w:val="FootnoteReference"/>
        </w:rPr>
        <w:footnoteRef/>
      </w:r>
      <w:r>
        <w:t xml:space="preserve"> </w:t>
      </w:r>
      <w:r>
        <w:rPr>
          <w:lang w:val="en-US"/>
        </w:rPr>
        <w:t>150 regular for budget, 500 for improved communication with Province equipment – Our efforts did not materialize.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475B"/>
    <w:multiLevelType w:val="hybridMultilevel"/>
    <w:tmpl w:val="5A469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64"/>
    <w:rsid w:val="004F7990"/>
    <w:rsid w:val="005D3464"/>
    <w:rsid w:val="006D5BDB"/>
    <w:rsid w:val="008120AD"/>
    <w:rsid w:val="009B4DD9"/>
    <w:rsid w:val="00B34134"/>
    <w:rsid w:val="00D8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6CBCBD"/>
  <w14:defaultImageDpi w14:val="300"/>
  <w15:docId w15:val="{622C4FA2-B8E7-4BA0-8361-A567147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34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464"/>
    <w:rPr>
      <w:sz w:val="18"/>
      <w:szCs w:val="18"/>
    </w:rPr>
  </w:style>
  <w:style w:type="paragraph" w:styleId="CommentText">
    <w:name w:val="annotation text"/>
    <w:basedOn w:val="Normal"/>
    <w:link w:val="CommentTextChar"/>
    <w:uiPriority w:val="99"/>
    <w:semiHidden/>
    <w:unhideWhenUsed/>
    <w:rsid w:val="005D3464"/>
  </w:style>
  <w:style w:type="character" w:customStyle="1" w:styleId="CommentTextChar">
    <w:name w:val="Comment Text Char"/>
    <w:basedOn w:val="DefaultParagraphFont"/>
    <w:link w:val="CommentText"/>
    <w:uiPriority w:val="99"/>
    <w:semiHidden/>
    <w:rsid w:val="005D3464"/>
    <w:rPr>
      <w:sz w:val="24"/>
      <w:szCs w:val="24"/>
      <w:lang w:eastAsia="en-US"/>
    </w:rPr>
  </w:style>
  <w:style w:type="paragraph" w:styleId="BalloonText">
    <w:name w:val="Balloon Text"/>
    <w:basedOn w:val="Normal"/>
    <w:link w:val="BalloonTextChar"/>
    <w:uiPriority w:val="99"/>
    <w:semiHidden/>
    <w:unhideWhenUsed/>
    <w:rsid w:val="005D3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464"/>
    <w:rPr>
      <w:rFonts w:ascii="Lucida Grande" w:hAnsi="Lucida Grande" w:cs="Lucida Grande"/>
      <w:sz w:val="18"/>
      <w:szCs w:val="18"/>
      <w:lang w:eastAsia="en-US"/>
    </w:rPr>
  </w:style>
  <w:style w:type="paragraph" w:styleId="NoSpacing">
    <w:name w:val="No Spacing"/>
    <w:uiPriority w:val="1"/>
    <w:qFormat/>
    <w:rsid w:val="00B34134"/>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rsid w:val="008120AD"/>
    <w:rPr>
      <w:rFonts w:eastAsia="Times New Roman"/>
      <w:sz w:val="20"/>
      <w:szCs w:val="20"/>
      <w:lang w:val="en-CA"/>
    </w:rPr>
  </w:style>
  <w:style w:type="character" w:customStyle="1" w:styleId="FootnoteTextChar">
    <w:name w:val="Footnote Text Char"/>
    <w:basedOn w:val="DefaultParagraphFont"/>
    <w:link w:val="FootnoteText"/>
    <w:semiHidden/>
    <w:rsid w:val="008120AD"/>
    <w:rPr>
      <w:rFonts w:eastAsia="Times New Roman"/>
      <w:lang w:val="en-CA" w:eastAsia="en-US"/>
    </w:rPr>
  </w:style>
  <w:style w:type="character" w:styleId="FootnoteReference">
    <w:name w:val="footnote reference"/>
    <w:semiHidden/>
    <w:rsid w:val="008120AD"/>
    <w:rPr>
      <w:vertAlign w:val="superscript"/>
    </w:rPr>
  </w:style>
  <w:style w:type="paragraph" w:styleId="ListParagraph">
    <w:name w:val="List Paragraph"/>
    <w:basedOn w:val="Normal"/>
    <w:uiPriority w:val="34"/>
    <w:qFormat/>
    <w:rsid w:val="008120AD"/>
    <w:pPr>
      <w:ind w:left="720"/>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Richard Hudler</cp:lastModifiedBy>
  <cp:revision>3</cp:revision>
  <dcterms:created xsi:type="dcterms:W3CDTF">2017-04-19T18:35:00Z</dcterms:created>
  <dcterms:modified xsi:type="dcterms:W3CDTF">2017-04-19T18:45:00Z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-1199071397</vt:i4>
  </property>
  <property fmtid="{D5CDD505-2E9C-101B-9397-08002B2CF9AE}" pid="3" name="_NewReviewCycle">
    <vt:lpwstr/>
  </property>
  <property fmtid="{D5CDD505-2E9C-101B-9397-08002B2CF9AE}" pid="4" name="_EmailSubject">
    <vt:lpwstr>2016 AGM and or General Meeting  2016 </vt:lpwstr>
  </property>
  <property fmtid="{D5CDD505-2E9C-101B-9397-08002B2CF9AE}" pid="5" name="_AuthorEmail">
    <vt:lpwstr>rh@richardhudler.ca</vt:lpwstr>
  </property>
  <property fmtid="{D5CDD505-2E9C-101B-9397-08002B2CF9AE}" pid="6" name="_AuthorEmailDisplayName">
    <vt:lpwstr>Richard Hudler</vt:lpwstr>
  </property>
</Properties>
</file>